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25057B" w14:textId="4632C462" w:rsidR="00C47349" w:rsidRPr="0052548E" w:rsidRDefault="00C47349" w:rsidP="00C47349">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#96</w:t>
      </w:r>
      <w:r>
        <w:rPr>
          <w:rFonts w:ascii="Arial" w:hAnsi="Arial" w:cs="Arial"/>
          <w:b/>
          <w:bCs/>
          <w:sz w:val="28"/>
        </w:rPr>
        <w:tab/>
      </w:r>
      <w:r>
        <w:rPr>
          <w:rFonts w:ascii="Arial" w:hAnsi="Arial" w:cs="Arial"/>
          <w:b/>
          <w:bCs/>
          <w:sz w:val="28"/>
        </w:rPr>
        <w:tab/>
      </w:r>
      <w:r>
        <w:rPr>
          <w:rFonts w:ascii="Arial" w:hAnsi="Arial" w:cs="Arial"/>
          <w:b/>
          <w:bCs/>
          <w:sz w:val="28"/>
        </w:rPr>
        <w:tab/>
      </w:r>
      <w:r w:rsidRPr="00385ED7">
        <w:rPr>
          <w:rFonts w:ascii="Arial" w:hAnsi="Arial" w:cs="Arial"/>
          <w:b/>
          <w:bCs/>
          <w:sz w:val="28"/>
        </w:rPr>
        <w:t>R1-19</w:t>
      </w:r>
      <w:r w:rsidR="00385ED7" w:rsidRPr="00385ED7">
        <w:rPr>
          <w:rFonts w:ascii="Arial" w:hAnsi="Arial" w:cs="Arial"/>
          <w:b/>
          <w:bCs/>
          <w:sz w:val="28"/>
        </w:rPr>
        <w:t>02965</w:t>
      </w:r>
    </w:p>
    <w:p w14:paraId="6950006B" w14:textId="0365F3B7" w:rsidR="00C47349" w:rsidRDefault="00C47349" w:rsidP="00C4734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proofErr w:type="gramStart"/>
      <w:r>
        <w:rPr>
          <w:rFonts w:ascii="Arial" w:eastAsia="MS Mincho" w:hAnsi="Arial" w:cs="Arial"/>
          <w:b/>
          <w:bCs/>
          <w:sz w:val="28"/>
          <w:lang w:eastAsia="ja-JP"/>
        </w:rPr>
        <w:t>March,</w:t>
      </w:r>
      <w:proofErr w:type="gramEnd"/>
      <w:r>
        <w:rPr>
          <w:rFonts w:ascii="Arial" w:eastAsia="MS Mincho" w:hAnsi="Arial" w:cs="Arial"/>
          <w:b/>
          <w:bCs/>
          <w:sz w:val="28"/>
          <w:lang w:eastAsia="ja-JP"/>
        </w:rPr>
        <w:t xml:space="preserve"> 2019</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3D2D06AD"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6874AE">
        <w:rPr>
          <w:rFonts w:ascii="Arial" w:hAnsi="Arial"/>
          <w:sz w:val="24"/>
        </w:rPr>
        <w:t>5</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345EA3F6" w:rsidR="008804DA" w:rsidRPr="004B6823" w:rsidRDefault="008804DA" w:rsidP="008804DA">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874AE" w:rsidRPr="006874AE">
        <w:rPr>
          <w:rFonts w:ascii="Arial" w:hAnsi="Arial"/>
          <w:sz w:val="22"/>
        </w:rPr>
        <w:t>Discussion of RAN2 LS on PHR Procedure in Dual-Connectivity</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729BBDBE" w14:textId="6F9D5AF1" w:rsidR="00A578FA" w:rsidRDefault="00A578FA" w:rsidP="00C43315">
      <w:pPr>
        <w:widowControl w:val="0"/>
        <w:jc w:val="both"/>
      </w:pPr>
      <w:r>
        <w:t>A LS, R</w:t>
      </w:r>
      <w:r w:rsidR="00DD2942">
        <w:t>1</w:t>
      </w:r>
      <w:r>
        <w:t>-1</w:t>
      </w:r>
      <w:r w:rsidR="00DD2942">
        <w:t>901487</w:t>
      </w:r>
      <w:r w:rsidR="008B4AF9">
        <w:t xml:space="preserve"> </w:t>
      </w:r>
      <w:r w:rsidR="00DD2942">
        <w:t>[</w:t>
      </w:r>
      <w:r w:rsidR="00B053E9">
        <w:t>1]</w:t>
      </w:r>
      <w:r>
        <w:t xml:space="preserve"> </w:t>
      </w:r>
      <w:r w:rsidR="008B4AF9">
        <w:t>has been</w:t>
      </w:r>
      <w:r>
        <w:t xml:space="preserve"> received from RAN2 on PHR procedure in dual-connectivity, concerning the PHR procedure in EN-DC. It was stated that </w:t>
      </w:r>
    </w:p>
    <w:p w14:paraId="23CB5084" w14:textId="77777777" w:rsidR="00A578FA" w:rsidRPr="00A578FA" w:rsidRDefault="00A578FA" w:rsidP="00A578FA">
      <w:pPr>
        <w:pStyle w:val="Header"/>
        <w:spacing w:after="120"/>
        <w:ind w:left="288"/>
        <w:jc w:val="both"/>
        <w:rPr>
          <w:rFonts w:ascii="Times New Roman" w:hAnsi="Times New Roman"/>
          <w:b w:val="0"/>
          <w:i/>
          <w:sz w:val="20"/>
        </w:rPr>
      </w:pPr>
      <w:r w:rsidRPr="00A578FA">
        <w:rPr>
          <w:rFonts w:ascii="Times New Roman" w:hAnsi="Times New Roman"/>
          <w:b w:val="0"/>
          <w:i/>
          <w:sz w:val="20"/>
        </w:rPr>
        <w:t>RAN2 has discussed and agreed to the following change to LTE PHR procedure for EN-DC:</w:t>
      </w:r>
    </w:p>
    <w:p w14:paraId="49DC9CD0" w14:textId="77777777" w:rsidR="00A578FA" w:rsidRPr="00A578FA" w:rsidRDefault="00A578FA" w:rsidP="00A578FA">
      <w:pPr>
        <w:pStyle w:val="Header"/>
        <w:spacing w:after="120"/>
        <w:ind w:left="648"/>
        <w:jc w:val="both"/>
        <w:rPr>
          <w:rFonts w:ascii="Times New Roman" w:hAnsi="Times New Roman"/>
          <w:b w:val="0"/>
          <w:i/>
          <w:sz w:val="20"/>
        </w:rPr>
      </w:pPr>
      <w:r w:rsidRPr="00A578FA">
        <w:rPr>
          <w:rFonts w:ascii="Times New Roman" w:hAnsi="Times New Roman"/>
          <w:b w:val="0"/>
          <w:i/>
          <w:sz w:val="20"/>
        </w:rPr>
        <w:t xml:space="preserve">After a PHR is triggered, if </w:t>
      </w:r>
      <w:r w:rsidRPr="00A578FA">
        <w:rPr>
          <w:rFonts w:ascii="Times New Roman" w:hAnsi="Times New Roman"/>
          <w:b w:val="0"/>
          <w:i/>
          <w:sz w:val="20"/>
          <w:lang w:eastAsia="ja-JP"/>
        </w:rPr>
        <w:t xml:space="preserve">dualConnectivityPHR </w:t>
      </w:r>
      <w:r w:rsidRPr="00A578FA">
        <w:rPr>
          <w:rFonts w:ascii="Times New Roman" w:hAnsi="Times New Roman"/>
          <w:b w:val="0"/>
          <w:i/>
          <w:sz w:val="20"/>
        </w:rPr>
        <w:t xml:space="preserve">is configured, UE needs to report power headroom information of all activated LTE and NR serving cells.  For a NR serving cell, whether UE reports its PH value based on real transmission or reference format is determined based on UL transmissions </w:t>
      </w:r>
      <w:bookmarkStart w:id="2" w:name="_Hlk530061386"/>
      <w:r w:rsidRPr="00A578FA">
        <w:rPr>
          <w:rFonts w:ascii="Times New Roman" w:hAnsi="Times New Roman"/>
          <w:b w:val="0"/>
          <w:i/>
          <w:sz w:val="20"/>
        </w:rPr>
        <w:t xml:space="preserve">that have been scheduled or configured </w:t>
      </w:r>
      <w:bookmarkEnd w:id="2"/>
      <w:r w:rsidRPr="00A578FA">
        <w:rPr>
          <w:rFonts w:ascii="Times New Roman" w:hAnsi="Times New Roman"/>
          <w:b w:val="0"/>
          <w:i/>
          <w:sz w:val="20"/>
        </w:rPr>
        <w:t>until 4 ms prior to the TTI in which the PHR MAC CE is transmitted.</w:t>
      </w:r>
    </w:p>
    <w:p w14:paraId="2F78AEA1" w14:textId="77777777" w:rsidR="00A578FA" w:rsidRPr="00A578FA" w:rsidRDefault="00A578FA" w:rsidP="00A578FA">
      <w:pPr>
        <w:pStyle w:val="Header"/>
        <w:spacing w:after="120"/>
        <w:ind w:left="288"/>
        <w:jc w:val="both"/>
        <w:rPr>
          <w:rFonts w:ascii="Times New Roman" w:hAnsi="Times New Roman"/>
          <w:b w:val="0"/>
          <w:i/>
          <w:sz w:val="20"/>
        </w:rPr>
      </w:pPr>
      <w:r w:rsidRPr="00A578FA">
        <w:rPr>
          <w:rFonts w:ascii="Times New Roman" w:hAnsi="Times New Roman"/>
          <w:b w:val="0"/>
          <w:i/>
          <w:sz w:val="20"/>
        </w:rPr>
        <w:t>In addition, RAN2 has discussed and agreed to the following change to both LTE and NR PHR procedure:</w:t>
      </w:r>
    </w:p>
    <w:p w14:paraId="43D032E0" w14:textId="77777777" w:rsidR="00A578FA" w:rsidRPr="00A578FA" w:rsidRDefault="00A578FA" w:rsidP="00A578FA">
      <w:pPr>
        <w:pStyle w:val="Header"/>
        <w:spacing w:after="120"/>
        <w:ind w:left="648"/>
        <w:jc w:val="both"/>
        <w:rPr>
          <w:rFonts w:ascii="Times New Roman" w:hAnsi="Times New Roman"/>
          <w:b w:val="0"/>
          <w:i/>
          <w:sz w:val="20"/>
        </w:rPr>
      </w:pPr>
      <w:r w:rsidRPr="00A578FA">
        <w:rPr>
          <w:rFonts w:ascii="Times New Roman" w:hAnsi="Times New Roman"/>
          <w:b w:val="0"/>
          <w:i/>
          <w:sz w:val="20"/>
        </w:rPr>
        <w:t xml:space="preserve">For a band combination in which a UE is not capable of dynamic power sharing, the UE may omit reporting power headroom information for serving cells in the other MAC entity. </w:t>
      </w:r>
    </w:p>
    <w:p w14:paraId="4CB545D9" w14:textId="77777777" w:rsidR="00A921D7" w:rsidRDefault="00A921D7" w:rsidP="00C43315">
      <w:pPr>
        <w:widowControl w:val="0"/>
        <w:jc w:val="both"/>
      </w:pPr>
    </w:p>
    <w:p w14:paraId="5F1709B1" w14:textId="1E29F57C" w:rsidR="004C3FD9" w:rsidRDefault="00DD2942" w:rsidP="00C43315">
      <w:pPr>
        <w:widowControl w:val="0"/>
        <w:jc w:val="both"/>
      </w:pPr>
      <w:r>
        <w:t xml:space="preserve">In </w:t>
      </w:r>
      <w:r w:rsidR="00A921D7">
        <w:t xml:space="preserve">this paper, we </w:t>
      </w:r>
      <w:r w:rsidR="00B053E9">
        <w:t>identify</w:t>
      </w:r>
      <w:r w:rsidR="00A921D7">
        <w:t xml:space="preserve"> the issues</w:t>
      </w:r>
      <w:r w:rsidR="009C23B8">
        <w:t xml:space="preserve"> </w:t>
      </w:r>
      <w:r w:rsidR="00B053E9">
        <w:t xml:space="preserve">yet </w:t>
      </w:r>
      <w:r w:rsidR="009C23B8">
        <w:t xml:space="preserve">to be resolved </w:t>
      </w:r>
      <w:r w:rsidR="00B053E9">
        <w:t xml:space="preserve">from RAN1 perspective in order to support </w:t>
      </w:r>
      <w:r w:rsidR="00A921D7">
        <w:t xml:space="preserve">the above </w:t>
      </w:r>
      <w:r w:rsidR="009C23B8">
        <w:t>PHR procedure</w:t>
      </w:r>
      <w:r w:rsidR="00A921D7">
        <w:t xml:space="preserve"> and propose </w:t>
      </w:r>
      <w:r w:rsidR="00B053E9">
        <w:t xml:space="preserve">solutions.  </w:t>
      </w:r>
    </w:p>
    <w:p w14:paraId="471F2F03" w14:textId="77777777" w:rsidR="004C3FD9" w:rsidRDefault="004C3FD9" w:rsidP="0099132E"/>
    <w:p w14:paraId="0DBA759E" w14:textId="371002A2" w:rsidR="0089193F" w:rsidRDefault="00DC4ADC" w:rsidP="00490E33">
      <w:pPr>
        <w:pStyle w:val="Heading1"/>
        <w:pBdr>
          <w:top w:val="single" w:sz="12" w:space="31" w:color="auto"/>
        </w:pBdr>
        <w:jc w:val="both"/>
      </w:pPr>
      <w:bookmarkStart w:id="3" w:name="_Ref473802466"/>
      <w:bookmarkStart w:id="4" w:name="_Ref462669569"/>
      <w:r>
        <w:t>Discuss</w:t>
      </w:r>
      <w:r w:rsidR="00560E36">
        <w:t>ions</w:t>
      </w:r>
    </w:p>
    <w:p w14:paraId="7C41CA3E" w14:textId="77777777" w:rsidR="000350EC" w:rsidRPr="000350EC" w:rsidRDefault="000350EC" w:rsidP="000350EC">
      <w:pPr>
        <w:rPr>
          <w:lang w:val="en-GB"/>
        </w:rPr>
      </w:pPr>
    </w:p>
    <w:p w14:paraId="54CF331D" w14:textId="7489FB0E" w:rsidR="00576592" w:rsidRPr="00576592" w:rsidRDefault="000F0C8B" w:rsidP="000350EC">
      <w:pPr>
        <w:pStyle w:val="Heading2"/>
      </w:pPr>
      <w:r>
        <w:t>TPC Accumulation</w:t>
      </w:r>
    </w:p>
    <w:p w14:paraId="24E676D3" w14:textId="38B956EA" w:rsidR="00883FB8" w:rsidRDefault="00506656" w:rsidP="00284CD4">
      <w:pPr>
        <w:pStyle w:val="Default"/>
        <w:rPr>
          <w:sz w:val="20"/>
          <w:szCs w:val="20"/>
          <w:lang w:val="en-GB"/>
        </w:rPr>
      </w:pPr>
      <w:r>
        <w:rPr>
          <w:sz w:val="20"/>
          <w:szCs w:val="20"/>
          <w:lang w:val="en-GB"/>
        </w:rPr>
        <w:t xml:space="preserve">For both PH based on a real transmission and PH based on a reference transmission, TPC accumulation, </w:t>
      </w:r>
      <w:r w:rsidRPr="00506656">
        <w:rPr>
          <w:i/>
          <w:sz w:val="20"/>
          <w:szCs w:val="20"/>
          <w:lang w:val="en-GB"/>
        </w:rPr>
        <w:t>f(</w:t>
      </w:r>
      <w:proofErr w:type="spellStart"/>
      <w:proofErr w:type="gramStart"/>
      <w:r w:rsidRPr="00506656">
        <w:rPr>
          <w:i/>
          <w:sz w:val="20"/>
          <w:szCs w:val="20"/>
          <w:lang w:val="en-GB"/>
        </w:rPr>
        <w:t>i,l</w:t>
      </w:r>
      <w:proofErr w:type="spellEnd"/>
      <w:proofErr w:type="gramEnd"/>
      <w:r w:rsidRPr="00506656">
        <w:rPr>
          <w:i/>
          <w:sz w:val="20"/>
          <w:szCs w:val="20"/>
          <w:lang w:val="en-GB"/>
        </w:rPr>
        <w:t>)</w:t>
      </w:r>
      <w:r>
        <w:rPr>
          <w:sz w:val="20"/>
          <w:szCs w:val="20"/>
          <w:lang w:val="en-GB"/>
        </w:rPr>
        <w:t xml:space="preserve"> is needed. For DCI scheduled UL transmission, </w:t>
      </w:r>
      <w:r w:rsidR="00883FB8" w:rsidRPr="00506656">
        <w:rPr>
          <w:i/>
          <w:sz w:val="20"/>
          <w:szCs w:val="20"/>
          <w:lang w:val="en-GB"/>
        </w:rPr>
        <w:t>f(</w:t>
      </w:r>
      <w:proofErr w:type="spellStart"/>
      <w:r w:rsidR="00883FB8" w:rsidRPr="00506656">
        <w:rPr>
          <w:i/>
          <w:sz w:val="20"/>
          <w:szCs w:val="20"/>
          <w:lang w:val="en-GB"/>
        </w:rPr>
        <w:t>i,l</w:t>
      </w:r>
      <w:proofErr w:type="spellEnd"/>
      <w:r w:rsidR="00883FB8" w:rsidRPr="00506656">
        <w:rPr>
          <w:i/>
          <w:sz w:val="20"/>
          <w:szCs w:val="20"/>
          <w:lang w:val="en-GB"/>
        </w:rPr>
        <w:t>)</w:t>
      </w:r>
      <w:r w:rsidR="00883FB8">
        <w:rPr>
          <w:sz w:val="20"/>
          <w:szCs w:val="20"/>
          <w:lang w:val="en-GB"/>
        </w:rPr>
        <w:t xml:space="preserve">  is </w:t>
      </w:r>
      <w:r>
        <w:rPr>
          <w:sz w:val="20"/>
          <w:szCs w:val="20"/>
          <w:lang w:val="en-GB"/>
        </w:rPr>
        <w:t>the</w:t>
      </w:r>
      <w:r w:rsidR="00883FB8">
        <w:rPr>
          <w:sz w:val="20"/>
          <w:szCs w:val="20"/>
          <w:lang w:val="en-GB"/>
        </w:rPr>
        <w:t xml:space="preserve"> accumulation of the</w:t>
      </w:r>
      <w:r>
        <w:rPr>
          <w:sz w:val="20"/>
          <w:szCs w:val="20"/>
          <w:lang w:val="en-GB"/>
        </w:rPr>
        <w:t xml:space="preserve"> TPC commands up to the last symbol of the corresponding DCI; for configured UL transmission, </w:t>
      </w:r>
      <w:r w:rsidR="00883FB8" w:rsidRPr="00506656">
        <w:rPr>
          <w:i/>
          <w:sz w:val="20"/>
          <w:szCs w:val="20"/>
          <w:lang w:val="en-GB"/>
        </w:rPr>
        <w:t>f(</w:t>
      </w:r>
      <w:proofErr w:type="spellStart"/>
      <w:r w:rsidR="00883FB8" w:rsidRPr="00506656">
        <w:rPr>
          <w:i/>
          <w:sz w:val="20"/>
          <w:szCs w:val="20"/>
          <w:lang w:val="en-GB"/>
        </w:rPr>
        <w:t>i,l</w:t>
      </w:r>
      <w:proofErr w:type="spellEnd"/>
      <w:r w:rsidR="00883FB8" w:rsidRPr="00506656">
        <w:rPr>
          <w:i/>
          <w:sz w:val="20"/>
          <w:szCs w:val="20"/>
          <w:lang w:val="en-GB"/>
        </w:rPr>
        <w:t>)</w:t>
      </w:r>
      <w:r w:rsidR="00883FB8">
        <w:rPr>
          <w:sz w:val="20"/>
          <w:szCs w:val="20"/>
          <w:lang w:val="en-GB"/>
        </w:rPr>
        <w:t xml:space="preserve"> is the accumulation of </w:t>
      </w:r>
      <w:r>
        <w:rPr>
          <w:sz w:val="20"/>
          <w:szCs w:val="20"/>
          <w:lang w:val="en-GB"/>
        </w:rPr>
        <w:t xml:space="preserve">the TPC commands up to </w:t>
      </w:r>
      <w:r w:rsidR="00C67F67">
        <w:rPr>
          <w:sz w:val="20"/>
          <w:szCs w:val="20"/>
          <w:lang w:val="en-GB"/>
        </w:rPr>
        <w:t xml:space="preserve">min{k2} slots </w:t>
      </w:r>
      <w:r>
        <w:rPr>
          <w:sz w:val="20"/>
          <w:szCs w:val="20"/>
          <w:lang w:val="en-GB"/>
        </w:rPr>
        <w:t>before the transmission</w:t>
      </w:r>
      <w:r w:rsidR="009C610E">
        <w:rPr>
          <w:sz w:val="20"/>
          <w:szCs w:val="20"/>
          <w:lang w:val="en-GB"/>
        </w:rPr>
        <w:t xml:space="preserve"> [2]</w:t>
      </w:r>
      <w:r>
        <w:rPr>
          <w:sz w:val="20"/>
          <w:szCs w:val="20"/>
          <w:lang w:val="en-GB"/>
        </w:rPr>
        <w:t xml:space="preserve">. </w:t>
      </w:r>
      <w:r w:rsidR="00883FB8">
        <w:rPr>
          <w:sz w:val="20"/>
          <w:szCs w:val="20"/>
          <w:lang w:val="en-GB"/>
        </w:rPr>
        <w:t xml:space="preserve"> The difference in the latest time of TPC accumulation </w:t>
      </w:r>
      <w:r>
        <w:rPr>
          <w:sz w:val="20"/>
          <w:szCs w:val="20"/>
          <w:lang w:val="en-GB"/>
        </w:rPr>
        <w:t xml:space="preserve">is </w:t>
      </w:r>
      <w:r w:rsidR="00883FB8">
        <w:rPr>
          <w:sz w:val="20"/>
          <w:szCs w:val="20"/>
          <w:lang w:val="en-GB"/>
        </w:rPr>
        <w:t>depicted in the Figure 1.</w:t>
      </w:r>
    </w:p>
    <w:p w14:paraId="3B89D88F" w14:textId="77777777" w:rsidR="00883FB8" w:rsidRDefault="00883FB8" w:rsidP="00284CD4">
      <w:pPr>
        <w:pStyle w:val="Default"/>
        <w:rPr>
          <w:sz w:val="20"/>
          <w:szCs w:val="20"/>
          <w:lang w:val="en-GB"/>
        </w:rPr>
      </w:pPr>
    </w:p>
    <w:p w14:paraId="2449CEA0" w14:textId="5DCCE661" w:rsidR="00883FB8" w:rsidRDefault="00AB652C" w:rsidP="00883FB8">
      <w:pPr>
        <w:pStyle w:val="Default"/>
        <w:keepNext/>
      </w:pPr>
      <w:r>
        <w:object w:dxaOrig="9225" w:dyaOrig="2108" w14:anchorId="253E30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105.85pt" o:ole="">
            <v:imagedata r:id="rId12" o:title=""/>
          </v:shape>
          <o:OLEObject Type="Embed" ProgID="Visio.Drawing.11" ShapeID="_x0000_i1025" DrawAspect="Content" ObjectID="_1611777828" r:id="rId13"/>
        </w:object>
      </w:r>
    </w:p>
    <w:p w14:paraId="384320E9" w14:textId="38EF08B5" w:rsidR="00883FB8" w:rsidRDefault="00883FB8" w:rsidP="006A5F14">
      <w:pPr>
        <w:pStyle w:val="Caption"/>
        <w:jc w:val="center"/>
      </w:pPr>
      <w:r>
        <w:t xml:space="preserve">Figure </w:t>
      </w:r>
      <w:r w:rsidR="00A81880">
        <w:rPr>
          <w:noProof/>
        </w:rPr>
        <w:fldChar w:fldCharType="begin"/>
      </w:r>
      <w:r w:rsidR="00A81880">
        <w:rPr>
          <w:noProof/>
        </w:rPr>
        <w:instrText xml:space="preserve"> SEQ Figure \* ARABIC </w:instrText>
      </w:r>
      <w:r w:rsidR="00A81880">
        <w:rPr>
          <w:noProof/>
        </w:rPr>
        <w:fldChar w:fldCharType="separate"/>
      </w:r>
      <w:r>
        <w:rPr>
          <w:noProof/>
        </w:rPr>
        <w:t>1</w:t>
      </w:r>
      <w:r w:rsidR="00A81880">
        <w:rPr>
          <w:noProof/>
        </w:rPr>
        <w:fldChar w:fldCharType="end"/>
      </w:r>
      <w:r>
        <w:t>. Latest time for TPC accumulation in UL power control: a) DCI schedule</w:t>
      </w:r>
      <w:r w:rsidR="008B4AF9">
        <w:t>d</w:t>
      </w:r>
      <w:r>
        <w:t xml:space="preserve"> UL transmission, b) Configured UL transmission.</w:t>
      </w:r>
    </w:p>
    <w:p w14:paraId="49A77EF2" w14:textId="39BDDC09" w:rsidR="000429E5" w:rsidRDefault="000429E5" w:rsidP="00883FB8"/>
    <w:p w14:paraId="43AF221B" w14:textId="6A4F7B2E" w:rsidR="000429E5" w:rsidRDefault="000429E5" w:rsidP="00883FB8">
      <w:r>
        <w:t xml:space="preserve">The PH value of a configured UL transmission can only be calculated within </w:t>
      </w:r>
      <w:proofErr w:type="gramStart"/>
      <w:r w:rsidR="00C67F67">
        <w:t>min{</w:t>
      </w:r>
      <w:r>
        <w:t xml:space="preserve"> k</w:t>
      </w:r>
      <w:proofErr w:type="gramEnd"/>
      <w:r>
        <w:t>2</w:t>
      </w:r>
      <w:r w:rsidR="00C67F67">
        <w:t>}</w:t>
      </w:r>
      <w:r>
        <w:t xml:space="preserve"> slots prior to the transmission</w:t>
      </w:r>
      <w:r w:rsidR="00C67F67">
        <w:t xml:space="preserve">, where k2 are configured in </w:t>
      </w:r>
      <w:r w:rsidR="00C67F67">
        <w:rPr>
          <w:i/>
          <w:iCs/>
        </w:rPr>
        <w:t>PUSCH-</w:t>
      </w:r>
      <w:proofErr w:type="spellStart"/>
      <w:r w:rsidR="00C67F67">
        <w:rPr>
          <w:i/>
          <w:iCs/>
        </w:rPr>
        <w:t>ConfigCommon</w:t>
      </w:r>
      <w:proofErr w:type="spellEnd"/>
      <w:r w:rsidR="00C67F67">
        <w:rPr>
          <w:i/>
          <w:iCs/>
        </w:rPr>
        <w:t xml:space="preserve">. </w:t>
      </w:r>
      <w:r>
        <w:t xml:space="preserve"> Since </w:t>
      </w:r>
      <w:r w:rsidR="00C67F67">
        <w:t>min{</w:t>
      </w:r>
      <w:r>
        <w:t>k2</w:t>
      </w:r>
      <w:r w:rsidR="00C67F67">
        <w:t>}</w:t>
      </w:r>
      <w:r>
        <w:t xml:space="preserve"> slots duration can be much smaller than 4 </w:t>
      </w:r>
      <w:proofErr w:type="spellStart"/>
      <w:r>
        <w:t>ms</w:t>
      </w:r>
      <w:proofErr w:type="spellEnd"/>
      <w:r>
        <w:t>,</w:t>
      </w:r>
      <w:r w:rsidR="00E52EF9">
        <w:t xml:space="preserve"> it is impossible to carry such a PH in an LTE UL transmission without mandating much faster LTE processing time line.</w:t>
      </w:r>
    </w:p>
    <w:p w14:paraId="2C7EBBB6" w14:textId="6D8A236D" w:rsidR="000429E5" w:rsidRPr="0003063A" w:rsidRDefault="000429E5" w:rsidP="00883FB8">
      <w:pPr>
        <w:rPr>
          <w:b/>
          <w:i/>
        </w:rPr>
      </w:pPr>
      <w:r w:rsidRPr="0003063A">
        <w:rPr>
          <w:b/>
          <w:i/>
        </w:rPr>
        <w:t xml:space="preserve">Observation 1: </w:t>
      </w:r>
      <w:r w:rsidR="0003063A" w:rsidRPr="0003063A">
        <w:rPr>
          <w:b/>
          <w:i/>
        </w:rPr>
        <w:t xml:space="preserve">There </w:t>
      </w:r>
      <w:r w:rsidR="0003063A">
        <w:rPr>
          <w:b/>
          <w:i/>
        </w:rPr>
        <w:t>is often</w:t>
      </w:r>
      <w:r w:rsidR="0003063A" w:rsidRPr="0003063A">
        <w:rPr>
          <w:b/>
          <w:i/>
        </w:rPr>
        <w:t xml:space="preserve"> not enough processing time for an LTE UL transmission to carry </w:t>
      </w:r>
      <w:r w:rsidR="00E52EF9" w:rsidRPr="0003063A">
        <w:rPr>
          <w:b/>
          <w:i/>
        </w:rPr>
        <w:t xml:space="preserve">the PHR of </w:t>
      </w:r>
      <w:r w:rsidRPr="0003063A">
        <w:rPr>
          <w:b/>
          <w:i/>
        </w:rPr>
        <w:t xml:space="preserve">a configured </w:t>
      </w:r>
      <w:r w:rsidR="00E52EF9" w:rsidRPr="0003063A">
        <w:rPr>
          <w:b/>
          <w:i/>
        </w:rPr>
        <w:t xml:space="preserve">NR </w:t>
      </w:r>
      <w:r w:rsidRPr="0003063A">
        <w:rPr>
          <w:b/>
          <w:i/>
        </w:rPr>
        <w:t xml:space="preserve">UL </w:t>
      </w:r>
      <w:r w:rsidR="0003063A">
        <w:rPr>
          <w:b/>
          <w:i/>
        </w:rPr>
        <w:t xml:space="preserve">transmission </w:t>
      </w:r>
      <w:r w:rsidR="0003063A" w:rsidRPr="0003063A">
        <w:rPr>
          <w:b/>
          <w:i/>
        </w:rPr>
        <w:t>that overlaps with the LTE transmission, regardless when the NR transmission is configured.</w:t>
      </w:r>
    </w:p>
    <w:p w14:paraId="3407B08C" w14:textId="68C31757" w:rsidR="00E527BF" w:rsidRDefault="0003063A" w:rsidP="00883FB8">
      <w:pPr>
        <w:rPr>
          <w:i/>
          <w:lang w:val="en-GB"/>
        </w:rPr>
      </w:pPr>
      <w:r>
        <w:t xml:space="preserve">In NR, </w:t>
      </w:r>
      <w:r w:rsidRPr="00506656">
        <w:rPr>
          <w:i/>
          <w:lang w:val="en-GB"/>
        </w:rPr>
        <w:t>f(</w:t>
      </w:r>
      <w:proofErr w:type="spellStart"/>
      <w:proofErr w:type="gramStart"/>
      <w:r w:rsidRPr="00506656">
        <w:rPr>
          <w:i/>
          <w:lang w:val="en-GB"/>
        </w:rPr>
        <w:t>i,l</w:t>
      </w:r>
      <w:proofErr w:type="spellEnd"/>
      <w:proofErr w:type="gramEnd"/>
      <w:r w:rsidRPr="00506656">
        <w:rPr>
          <w:i/>
          <w:lang w:val="en-GB"/>
        </w:rPr>
        <w:t>)</w:t>
      </w:r>
      <w:r>
        <w:rPr>
          <w:i/>
          <w:lang w:val="en-GB"/>
        </w:rPr>
        <w:t xml:space="preserve"> </w:t>
      </w:r>
      <w:r w:rsidRPr="00E527BF">
        <w:rPr>
          <w:lang w:val="en-GB"/>
        </w:rPr>
        <w:t>is not clearly defined for a reference UL transmission.</w:t>
      </w:r>
      <w:r>
        <w:rPr>
          <w:i/>
          <w:lang w:val="en-GB"/>
        </w:rPr>
        <w:t xml:space="preserve"> </w:t>
      </w:r>
      <w:r w:rsidR="00E527BF" w:rsidRPr="00214B17">
        <w:rPr>
          <w:lang w:val="en-GB"/>
        </w:rPr>
        <w:t>Two immediate options are:</w:t>
      </w:r>
    </w:p>
    <w:p w14:paraId="1F63445E" w14:textId="6D744B2A" w:rsidR="00E527BF" w:rsidRPr="00A71828" w:rsidRDefault="00E527BF" w:rsidP="00214B17">
      <w:pPr>
        <w:pStyle w:val="ListParagraph"/>
        <w:numPr>
          <w:ilvl w:val="0"/>
          <w:numId w:val="39"/>
        </w:numPr>
        <w:rPr>
          <w:rFonts w:ascii="Times New Roman" w:eastAsia="SimSun" w:hAnsi="Times New Roman"/>
          <w:sz w:val="20"/>
          <w:szCs w:val="20"/>
          <w:lang w:val="en-GB"/>
        </w:rPr>
      </w:pPr>
      <w:r w:rsidRPr="00A71828">
        <w:rPr>
          <w:rFonts w:ascii="Times New Roman" w:eastAsia="SimSun" w:hAnsi="Times New Roman"/>
          <w:sz w:val="20"/>
          <w:szCs w:val="20"/>
          <w:lang w:val="en-GB"/>
        </w:rPr>
        <w:t>Consider the reference transmission as a configured transmission and, thus, f(</w:t>
      </w:r>
      <w:proofErr w:type="spellStart"/>
      <w:proofErr w:type="gramStart"/>
      <w:r w:rsidR="00C67F67" w:rsidRPr="00A71828">
        <w:rPr>
          <w:rFonts w:ascii="Times New Roman" w:eastAsia="SimSun" w:hAnsi="Times New Roman"/>
          <w:sz w:val="20"/>
          <w:szCs w:val="20"/>
          <w:lang w:val="en-GB"/>
        </w:rPr>
        <w:t>i</w:t>
      </w:r>
      <w:r w:rsidRPr="00A71828">
        <w:rPr>
          <w:rFonts w:ascii="Times New Roman" w:eastAsia="SimSun" w:hAnsi="Times New Roman"/>
          <w:sz w:val="20"/>
          <w:szCs w:val="20"/>
          <w:lang w:val="en-GB"/>
        </w:rPr>
        <w:t>,</w:t>
      </w:r>
      <w:r w:rsidR="00C67F67" w:rsidRPr="00A71828">
        <w:rPr>
          <w:rFonts w:ascii="Times New Roman" w:eastAsia="SimSun" w:hAnsi="Times New Roman"/>
          <w:sz w:val="20"/>
          <w:szCs w:val="20"/>
          <w:lang w:val="en-GB"/>
        </w:rPr>
        <w:t>l</w:t>
      </w:r>
      <w:proofErr w:type="spellEnd"/>
      <w:proofErr w:type="gramEnd"/>
      <w:r w:rsidRPr="00A71828">
        <w:rPr>
          <w:rFonts w:ascii="Times New Roman" w:eastAsia="SimSun" w:hAnsi="Times New Roman"/>
          <w:sz w:val="20"/>
          <w:szCs w:val="20"/>
          <w:lang w:val="en-GB"/>
        </w:rPr>
        <w:t xml:space="preserve">) is calculated </w:t>
      </w:r>
      <w:r w:rsidR="00214B17" w:rsidRPr="00A71828">
        <w:rPr>
          <w:rFonts w:ascii="Times New Roman" w:eastAsia="SimSun" w:hAnsi="Times New Roman"/>
          <w:sz w:val="20"/>
          <w:szCs w:val="20"/>
          <w:lang w:val="en-GB"/>
        </w:rPr>
        <w:t xml:space="preserve">to include TPC commands </w:t>
      </w:r>
      <w:r w:rsidR="00C67F67" w:rsidRPr="00A71828">
        <w:rPr>
          <w:rFonts w:ascii="Times New Roman" w:eastAsia="SimSun" w:hAnsi="Times New Roman"/>
          <w:sz w:val="20"/>
          <w:szCs w:val="20"/>
          <w:lang w:val="en-GB"/>
        </w:rPr>
        <w:t>min{k2}</w:t>
      </w:r>
      <w:r w:rsidRPr="00A71828">
        <w:rPr>
          <w:rFonts w:ascii="Times New Roman" w:eastAsia="SimSun" w:hAnsi="Times New Roman"/>
          <w:sz w:val="20"/>
          <w:szCs w:val="20"/>
          <w:lang w:val="en-GB"/>
        </w:rPr>
        <w:t xml:space="preserve"> slots before the reference slot. </w:t>
      </w:r>
    </w:p>
    <w:p w14:paraId="207C8D68" w14:textId="27C6980D" w:rsidR="00E527BF" w:rsidRPr="00A71828" w:rsidRDefault="00E527BF" w:rsidP="00214B17">
      <w:pPr>
        <w:pStyle w:val="ListParagraph"/>
        <w:numPr>
          <w:ilvl w:val="0"/>
          <w:numId w:val="39"/>
        </w:numPr>
        <w:rPr>
          <w:rFonts w:ascii="Times New Roman" w:eastAsia="SimSun" w:hAnsi="Times New Roman"/>
          <w:sz w:val="20"/>
          <w:szCs w:val="20"/>
          <w:lang w:val="en-GB"/>
        </w:rPr>
      </w:pPr>
      <w:r w:rsidRPr="00A71828">
        <w:rPr>
          <w:rFonts w:ascii="Times New Roman" w:eastAsia="SimSun" w:hAnsi="Times New Roman"/>
          <w:sz w:val="20"/>
          <w:szCs w:val="20"/>
          <w:lang w:val="en-GB"/>
        </w:rPr>
        <w:t>Consider the reference transmission as scheduled by a virtual DCI that ends at the time of PHR trigger and has no TPC command, and, thus, f(</w:t>
      </w:r>
      <w:proofErr w:type="spellStart"/>
      <w:proofErr w:type="gramStart"/>
      <w:r w:rsidRPr="00A71828">
        <w:rPr>
          <w:rFonts w:ascii="Times New Roman" w:eastAsia="SimSun" w:hAnsi="Times New Roman"/>
          <w:sz w:val="20"/>
          <w:szCs w:val="20"/>
          <w:lang w:val="en-GB"/>
        </w:rPr>
        <w:t>i,l</w:t>
      </w:r>
      <w:proofErr w:type="spellEnd"/>
      <w:proofErr w:type="gramEnd"/>
      <w:r w:rsidRPr="00A71828">
        <w:rPr>
          <w:rFonts w:ascii="Times New Roman" w:eastAsia="SimSun" w:hAnsi="Times New Roman"/>
          <w:sz w:val="20"/>
          <w:szCs w:val="20"/>
          <w:lang w:val="en-GB"/>
        </w:rPr>
        <w:t xml:space="preserve">) is </w:t>
      </w:r>
      <w:r w:rsidR="00214B17" w:rsidRPr="00A71828">
        <w:rPr>
          <w:rFonts w:ascii="Times New Roman" w:eastAsia="SimSun" w:hAnsi="Times New Roman"/>
          <w:sz w:val="20"/>
          <w:szCs w:val="20"/>
          <w:lang w:val="en-GB"/>
        </w:rPr>
        <w:t>calculated</w:t>
      </w:r>
      <w:r w:rsidRPr="00A71828">
        <w:rPr>
          <w:rFonts w:ascii="Times New Roman" w:eastAsia="SimSun" w:hAnsi="Times New Roman"/>
          <w:sz w:val="20"/>
          <w:szCs w:val="20"/>
          <w:lang w:val="en-GB"/>
        </w:rPr>
        <w:t xml:space="preserve"> to include the TPC commands up to the time of PHR trigger. </w:t>
      </w:r>
    </w:p>
    <w:p w14:paraId="2C112FCD" w14:textId="77777777" w:rsidR="00883FB8" w:rsidRDefault="00883FB8" w:rsidP="00284CD4">
      <w:pPr>
        <w:pStyle w:val="Default"/>
        <w:rPr>
          <w:sz w:val="20"/>
          <w:szCs w:val="20"/>
          <w:lang w:val="en-GB"/>
        </w:rPr>
      </w:pPr>
    </w:p>
    <w:p w14:paraId="4895E854" w14:textId="0E33B1D6" w:rsidR="00576592" w:rsidRDefault="00214B17" w:rsidP="00284CD4">
      <w:pPr>
        <w:pStyle w:val="Default"/>
        <w:rPr>
          <w:sz w:val="20"/>
          <w:szCs w:val="20"/>
          <w:lang w:val="en-GB"/>
        </w:rPr>
      </w:pPr>
      <w:r>
        <w:rPr>
          <w:sz w:val="20"/>
          <w:szCs w:val="20"/>
          <w:lang w:val="en-GB"/>
        </w:rPr>
        <w:t>Since it is not specified</w:t>
      </w:r>
      <w:r w:rsidR="00576592">
        <w:rPr>
          <w:sz w:val="20"/>
          <w:szCs w:val="20"/>
          <w:lang w:val="en-GB"/>
        </w:rPr>
        <w:t xml:space="preserve">, </w:t>
      </w:r>
      <w:r w:rsidR="00576592" w:rsidRPr="00576592">
        <w:rPr>
          <w:i/>
          <w:sz w:val="20"/>
          <w:szCs w:val="20"/>
          <w:lang w:val="en-GB"/>
        </w:rPr>
        <w:t>f(</w:t>
      </w:r>
      <w:proofErr w:type="spellStart"/>
      <w:proofErr w:type="gramStart"/>
      <w:r w:rsidR="00576592" w:rsidRPr="00576592">
        <w:rPr>
          <w:i/>
          <w:sz w:val="20"/>
          <w:szCs w:val="20"/>
          <w:lang w:val="en-GB"/>
        </w:rPr>
        <w:t>i,l</w:t>
      </w:r>
      <w:proofErr w:type="spellEnd"/>
      <w:proofErr w:type="gramEnd"/>
      <w:r w:rsidR="00576592" w:rsidRPr="00576592">
        <w:rPr>
          <w:i/>
          <w:sz w:val="20"/>
          <w:szCs w:val="20"/>
          <w:lang w:val="en-GB"/>
        </w:rPr>
        <w:t>)</w:t>
      </w:r>
      <w:r w:rsidR="00576592">
        <w:rPr>
          <w:sz w:val="20"/>
          <w:szCs w:val="20"/>
          <w:lang w:val="en-GB"/>
        </w:rPr>
        <w:t xml:space="preserve"> including TPC accumulation up to any time in between PHR trigger and min{k2} slots prior to the reference slot should be allowed.</w:t>
      </w:r>
    </w:p>
    <w:p w14:paraId="703A28FE" w14:textId="024398B4" w:rsidR="006A5F14" w:rsidRDefault="006A5F14" w:rsidP="00284CD4">
      <w:pPr>
        <w:pStyle w:val="Default"/>
        <w:rPr>
          <w:sz w:val="20"/>
          <w:szCs w:val="20"/>
          <w:lang w:val="en-GB"/>
        </w:rPr>
      </w:pPr>
    </w:p>
    <w:p w14:paraId="7645F1C0" w14:textId="25A7DEB5" w:rsidR="006A5F14" w:rsidRDefault="006A5F14" w:rsidP="00284CD4">
      <w:pPr>
        <w:pStyle w:val="Default"/>
        <w:rPr>
          <w:b/>
          <w:i/>
          <w:sz w:val="20"/>
          <w:szCs w:val="20"/>
          <w:lang w:val="en-GB"/>
        </w:rPr>
      </w:pPr>
      <w:r w:rsidRPr="006A5F14">
        <w:rPr>
          <w:b/>
          <w:i/>
          <w:sz w:val="20"/>
          <w:szCs w:val="20"/>
          <w:lang w:val="en-GB"/>
        </w:rPr>
        <w:t>Proposal 1:  No need to support cross</w:t>
      </w:r>
      <w:r w:rsidR="000F09C7">
        <w:rPr>
          <w:b/>
          <w:i/>
          <w:sz w:val="20"/>
          <w:szCs w:val="20"/>
          <w:lang w:val="en-GB"/>
        </w:rPr>
        <w:t>-</w:t>
      </w:r>
      <w:bookmarkStart w:id="5" w:name="_GoBack"/>
      <w:bookmarkEnd w:id="5"/>
      <w:r w:rsidRPr="006A5F14">
        <w:rPr>
          <w:b/>
          <w:i/>
          <w:sz w:val="20"/>
          <w:szCs w:val="20"/>
          <w:lang w:val="en-GB"/>
        </w:rPr>
        <w:t xml:space="preserve">air-interface PHR report, i.e. NR PHR in LTE and LTE PHR in NR. </w:t>
      </w:r>
    </w:p>
    <w:p w14:paraId="198A4B34" w14:textId="6973BBCA" w:rsidR="006A5F14" w:rsidRDefault="006A5F14" w:rsidP="00284CD4">
      <w:pPr>
        <w:pStyle w:val="Default"/>
        <w:rPr>
          <w:b/>
          <w:i/>
          <w:sz w:val="20"/>
          <w:szCs w:val="20"/>
          <w:lang w:val="en-GB"/>
        </w:rPr>
      </w:pPr>
    </w:p>
    <w:p w14:paraId="17F8338A" w14:textId="2FADC015" w:rsidR="006A5F14" w:rsidRPr="006A5F14" w:rsidRDefault="006A5F14" w:rsidP="00284CD4">
      <w:pPr>
        <w:pStyle w:val="Default"/>
        <w:rPr>
          <w:b/>
          <w:i/>
          <w:sz w:val="20"/>
          <w:szCs w:val="20"/>
          <w:lang w:val="en-GB"/>
        </w:rPr>
      </w:pPr>
      <w:r>
        <w:rPr>
          <w:b/>
          <w:i/>
          <w:sz w:val="20"/>
          <w:szCs w:val="20"/>
          <w:lang w:val="en-GB"/>
        </w:rPr>
        <w:t xml:space="preserve">Proposal 2:  If Proposal 1 is not adopted, at least NR PHR in LTE should not be supported because it is not possible to provide an accurate PHR value.  </w:t>
      </w:r>
    </w:p>
    <w:p w14:paraId="2C13E40B" w14:textId="1220538A" w:rsidR="00576592" w:rsidRDefault="00576592" w:rsidP="00284CD4">
      <w:pPr>
        <w:pStyle w:val="Default"/>
        <w:rPr>
          <w:sz w:val="20"/>
          <w:szCs w:val="20"/>
          <w:lang w:val="en-GB"/>
        </w:rPr>
      </w:pPr>
    </w:p>
    <w:p w14:paraId="16636F5B" w14:textId="7EFEC967" w:rsidR="00576592" w:rsidRPr="000350EC" w:rsidRDefault="00576592" w:rsidP="00576592">
      <w:pPr>
        <w:pStyle w:val="Default"/>
        <w:rPr>
          <w:b/>
          <w:i/>
          <w:sz w:val="20"/>
          <w:szCs w:val="20"/>
          <w:lang w:val="en-GB"/>
        </w:rPr>
      </w:pPr>
      <w:r w:rsidRPr="009C610E">
        <w:rPr>
          <w:b/>
          <w:i/>
          <w:sz w:val="20"/>
          <w:szCs w:val="20"/>
          <w:lang w:val="en-GB"/>
        </w:rPr>
        <w:t xml:space="preserve">Proposal </w:t>
      </w:r>
      <w:r w:rsidR="006A5F14">
        <w:rPr>
          <w:b/>
          <w:i/>
          <w:sz w:val="20"/>
          <w:szCs w:val="20"/>
          <w:lang w:val="en-GB"/>
        </w:rPr>
        <w:t>3</w:t>
      </w:r>
      <w:r w:rsidRPr="000350EC">
        <w:rPr>
          <w:b/>
          <w:sz w:val="20"/>
          <w:szCs w:val="20"/>
          <w:lang w:val="en-GB"/>
        </w:rPr>
        <w:t>:</w:t>
      </w:r>
      <w:r w:rsidRPr="000350EC">
        <w:rPr>
          <w:b/>
          <w:i/>
          <w:sz w:val="20"/>
          <w:szCs w:val="20"/>
          <w:lang w:val="en-GB"/>
        </w:rPr>
        <w:t xml:space="preserve"> </w:t>
      </w:r>
      <w:r w:rsidR="006A5F14">
        <w:rPr>
          <w:b/>
          <w:i/>
          <w:sz w:val="20"/>
          <w:szCs w:val="20"/>
          <w:lang w:val="en-GB"/>
        </w:rPr>
        <w:t>If Proposal 1 and 2 are not adopted, for</w:t>
      </w:r>
      <w:r w:rsidRPr="000350EC">
        <w:rPr>
          <w:b/>
          <w:i/>
          <w:sz w:val="20"/>
          <w:szCs w:val="20"/>
          <w:lang w:val="en-GB"/>
        </w:rPr>
        <w:t xml:space="preserve"> reference PHR </w:t>
      </w:r>
      <w:r w:rsidR="006A5F14">
        <w:rPr>
          <w:b/>
          <w:i/>
          <w:sz w:val="20"/>
          <w:szCs w:val="20"/>
          <w:lang w:val="en-GB"/>
        </w:rPr>
        <w:t>of</w:t>
      </w:r>
      <w:r w:rsidRPr="000350EC">
        <w:rPr>
          <w:b/>
          <w:i/>
          <w:sz w:val="20"/>
          <w:szCs w:val="20"/>
          <w:lang w:val="en-GB"/>
        </w:rPr>
        <w:t xml:space="preserve"> NR</w:t>
      </w:r>
      <w:r w:rsidR="006A5F14">
        <w:rPr>
          <w:b/>
          <w:i/>
          <w:sz w:val="20"/>
          <w:szCs w:val="20"/>
          <w:lang w:val="en-GB"/>
        </w:rPr>
        <w:t xml:space="preserve"> to be reported in LTE</w:t>
      </w:r>
      <w:r w:rsidRPr="000350EC">
        <w:rPr>
          <w:b/>
          <w:i/>
        </w:rPr>
        <w:t xml:space="preserve">, </w:t>
      </w:r>
      <w:r w:rsidRPr="000350EC">
        <w:rPr>
          <w:b/>
          <w:i/>
          <w:sz w:val="20"/>
          <w:szCs w:val="20"/>
          <w:lang w:val="en-GB"/>
        </w:rPr>
        <w:t>f(</w:t>
      </w:r>
      <w:proofErr w:type="spellStart"/>
      <w:proofErr w:type="gramStart"/>
      <w:r w:rsidRPr="000350EC">
        <w:rPr>
          <w:b/>
          <w:i/>
          <w:sz w:val="20"/>
          <w:szCs w:val="20"/>
          <w:lang w:val="en-GB"/>
        </w:rPr>
        <w:t>i,l</w:t>
      </w:r>
      <w:proofErr w:type="spellEnd"/>
      <w:proofErr w:type="gramEnd"/>
      <w:r w:rsidRPr="000350EC">
        <w:rPr>
          <w:b/>
          <w:i/>
          <w:sz w:val="20"/>
          <w:szCs w:val="20"/>
          <w:lang w:val="en-GB"/>
        </w:rPr>
        <w:t>)</w:t>
      </w:r>
      <w:r w:rsidRPr="006A5F14">
        <w:rPr>
          <w:b/>
          <w:i/>
          <w:sz w:val="20"/>
          <w:szCs w:val="20"/>
          <w:lang w:val="en-GB"/>
        </w:rPr>
        <w:t xml:space="preserve"> </w:t>
      </w:r>
      <w:r w:rsidR="009C610E" w:rsidRPr="006A5F14">
        <w:rPr>
          <w:b/>
          <w:i/>
          <w:sz w:val="20"/>
          <w:szCs w:val="20"/>
          <w:lang w:val="en-GB"/>
        </w:rPr>
        <w:t xml:space="preserve"> </w:t>
      </w:r>
      <w:r w:rsidR="006A5F14" w:rsidRPr="006A5F14">
        <w:rPr>
          <w:b/>
          <w:i/>
          <w:sz w:val="20"/>
          <w:szCs w:val="20"/>
          <w:lang w:val="en-GB"/>
        </w:rPr>
        <w:t xml:space="preserve">should be </w:t>
      </w:r>
      <w:r w:rsidR="009C610E" w:rsidRPr="009C610E">
        <w:rPr>
          <w:b/>
          <w:i/>
          <w:sz w:val="20"/>
          <w:szCs w:val="20"/>
          <w:lang w:val="en-GB"/>
        </w:rPr>
        <w:t>allowed to</w:t>
      </w:r>
      <w:r w:rsidR="009C610E" w:rsidRPr="006A5F14">
        <w:rPr>
          <w:b/>
          <w:i/>
          <w:sz w:val="20"/>
          <w:szCs w:val="20"/>
          <w:lang w:val="en-GB"/>
        </w:rPr>
        <w:t xml:space="preserve"> </w:t>
      </w:r>
      <w:r w:rsidRPr="000350EC">
        <w:rPr>
          <w:b/>
          <w:i/>
          <w:sz w:val="20"/>
          <w:szCs w:val="20"/>
          <w:lang w:val="en-GB"/>
        </w:rPr>
        <w:t>includ</w:t>
      </w:r>
      <w:r w:rsidR="009C610E">
        <w:rPr>
          <w:b/>
          <w:i/>
          <w:sz w:val="20"/>
          <w:szCs w:val="20"/>
          <w:lang w:val="en-GB"/>
        </w:rPr>
        <w:t>e</w:t>
      </w:r>
      <w:r w:rsidRPr="000350EC">
        <w:rPr>
          <w:b/>
          <w:i/>
          <w:sz w:val="20"/>
          <w:szCs w:val="20"/>
          <w:lang w:val="en-GB"/>
        </w:rPr>
        <w:t xml:space="preserve"> TPC accumulation up to any time in between PHR trigger and min{k2} slots prior to the reference slot</w:t>
      </w:r>
      <w:r w:rsidR="006A5F14">
        <w:rPr>
          <w:b/>
          <w:i/>
          <w:sz w:val="20"/>
          <w:szCs w:val="20"/>
          <w:lang w:val="en-GB"/>
        </w:rPr>
        <w:t xml:space="preserve"> (which makes the PHR inaccurate)</w:t>
      </w:r>
      <w:r w:rsidRPr="000350EC">
        <w:rPr>
          <w:b/>
          <w:i/>
          <w:sz w:val="20"/>
          <w:szCs w:val="20"/>
          <w:lang w:val="en-GB"/>
        </w:rPr>
        <w:t>.</w:t>
      </w:r>
    </w:p>
    <w:p w14:paraId="7F3B6CF8" w14:textId="6B7DF5BA" w:rsidR="00576592" w:rsidRDefault="00576592" w:rsidP="00576592">
      <w:pPr>
        <w:pStyle w:val="Default"/>
        <w:rPr>
          <w:sz w:val="20"/>
          <w:szCs w:val="20"/>
          <w:lang w:val="en-GB"/>
        </w:rPr>
      </w:pPr>
    </w:p>
    <w:p w14:paraId="5A48C220" w14:textId="6807DBE5" w:rsidR="000350EC" w:rsidRDefault="000350EC" w:rsidP="00576592">
      <w:pPr>
        <w:pStyle w:val="Default"/>
        <w:rPr>
          <w:sz w:val="20"/>
          <w:szCs w:val="20"/>
          <w:lang w:val="en-GB"/>
        </w:rPr>
      </w:pPr>
      <w:r>
        <w:rPr>
          <w:sz w:val="20"/>
          <w:szCs w:val="20"/>
          <w:lang w:val="en-GB"/>
        </w:rPr>
        <w:t xml:space="preserve">Since there is a timeline problem, </w:t>
      </w:r>
      <w:r w:rsidR="008B4AF9">
        <w:rPr>
          <w:sz w:val="20"/>
          <w:szCs w:val="20"/>
          <w:lang w:val="en-GB"/>
        </w:rPr>
        <w:t xml:space="preserve">the </w:t>
      </w:r>
      <w:r>
        <w:rPr>
          <w:sz w:val="20"/>
          <w:szCs w:val="20"/>
          <w:lang w:val="en-GB"/>
        </w:rPr>
        <w:t>UE should be allowed to always report reference NR PH on LTE.</w:t>
      </w:r>
    </w:p>
    <w:p w14:paraId="18976C53" w14:textId="77777777" w:rsidR="000350EC" w:rsidRDefault="000350EC" w:rsidP="00576592">
      <w:pPr>
        <w:pStyle w:val="Default"/>
        <w:rPr>
          <w:sz w:val="20"/>
          <w:szCs w:val="20"/>
          <w:lang w:val="en-GB"/>
        </w:rPr>
      </w:pPr>
    </w:p>
    <w:p w14:paraId="45089957" w14:textId="48D07BA9" w:rsidR="00576592" w:rsidRDefault="000350EC" w:rsidP="00576592">
      <w:pPr>
        <w:pStyle w:val="Default"/>
        <w:rPr>
          <w:b/>
          <w:i/>
          <w:sz w:val="20"/>
          <w:szCs w:val="20"/>
          <w:lang w:val="en-GB"/>
        </w:rPr>
      </w:pPr>
      <w:r w:rsidRPr="000350EC">
        <w:rPr>
          <w:b/>
          <w:i/>
          <w:sz w:val="20"/>
          <w:szCs w:val="20"/>
          <w:lang w:val="en-GB"/>
        </w:rPr>
        <w:t xml:space="preserve">Proposal </w:t>
      </w:r>
      <w:r w:rsidR="006A5F14">
        <w:rPr>
          <w:b/>
          <w:i/>
          <w:sz w:val="20"/>
          <w:szCs w:val="20"/>
          <w:lang w:val="en-GB"/>
        </w:rPr>
        <w:t>4</w:t>
      </w:r>
      <w:r w:rsidRPr="000350EC">
        <w:rPr>
          <w:b/>
          <w:i/>
          <w:sz w:val="20"/>
          <w:szCs w:val="20"/>
          <w:lang w:val="en-GB"/>
        </w:rPr>
        <w:t xml:space="preserve">: </w:t>
      </w:r>
      <w:r w:rsidR="006A5F14">
        <w:rPr>
          <w:b/>
          <w:i/>
          <w:sz w:val="20"/>
          <w:szCs w:val="20"/>
          <w:lang w:val="en-GB"/>
        </w:rPr>
        <w:t>If Proposal 1 and 2 are not adopted</w:t>
      </w:r>
      <w:r w:rsidR="006A5F14">
        <w:rPr>
          <w:b/>
          <w:i/>
          <w:sz w:val="20"/>
          <w:szCs w:val="20"/>
          <w:lang w:val="en-GB"/>
        </w:rPr>
        <w:t>, f</w:t>
      </w:r>
      <w:r w:rsidRPr="000350EC">
        <w:rPr>
          <w:b/>
          <w:i/>
          <w:sz w:val="20"/>
          <w:szCs w:val="20"/>
          <w:lang w:val="en-GB"/>
        </w:rPr>
        <w:t xml:space="preserve">or reporting NR PH </w:t>
      </w:r>
      <w:r w:rsidR="006A5F14">
        <w:rPr>
          <w:b/>
          <w:i/>
          <w:sz w:val="20"/>
          <w:szCs w:val="20"/>
          <w:lang w:val="en-GB"/>
        </w:rPr>
        <w:t>i</w:t>
      </w:r>
      <w:r w:rsidRPr="000350EC">
        <w:rPr>
          <w:b/>
          <w:i/>
          <w:sz w:val="20"/>
          <w:szCs w:val="20"/>
          <w:lang w:val="en-GB"/>
        </w:rPr>
        <w:t xml:space="preserve">n LTE, </w:t>
      </w:r>
      <w:r>
        <w:rPr>
          <w:b/>
          <w:i/>
          <w:sz w:val="20"/>
          <w:szCs w:val="20"/>
          <w:lang w:val="en-GB"/>
        </w:rPr>
        <w:t>it is up to UE to decide if the PHR is based on a reference or real transmission</w:t>
      </w:r>
      <w:r w:rsidRPr="000350EC">
        <w:rPr>
          <w:b/>
          <w:i/>
          <w:sz w:val="20"/>
          <w:szCs w:val="20"/>
          <w:lang w:val="en-GB"/>
        </w:rPr>
        <w:t xml:space="preserve">. </w:t>
      </w:r>
    </w:p>
    <w:p w14:paraId="5E855939" w14:textId="1E779A10" w:rsidR="000350EC" w:rsidRDefault="000350EC" w:rsidP="00576592">
      <w:pPr>
        <w:pStyle w:val="Default"/>
        <w:rPr>
          <w:b/>
          <w:i/>
          <w:sz w:val="20"/>
          <w:szCs w:val="20"/>
          <w:lang w:val="en-GB"/>
        </w:rPr>
      </w:pPr>
    </w:p>
    <w:p w14:paraId="6D5E291B" w14:textId="641AD5D3" w:rsidR="000350EC" w:rsidRPr="000350EC" w:rsidRDefault="000350EC" w:rsidP="000350EC">
      <w:pPr>
        <w:pStyle w:val="Heading2"/>
      </w:pPr>
      <w:r>
        <w:t>Reference Slot</w:t>
      </w:r>
    </w:p>
    <w:p w14:paraId="18DEC1D0" w14:textId="18B24631" w:rsidR="00AF6AA4" w:rsidRDefault="007556AB" w:rsidP="00284CD4">
      <w:pPr>
        <w:pStyle w:val="Default"/>
        <w:rPr>
          <w:sz w:val="20"/>
          <w:szCs w:val="20"/>
          <w:lang w:val="en-GB"/>
        </w:rPr>
      </w:pPr>
      <w:r>
        <w:rPr>
          <w:sz w:val="20"/>
          <w:szCs w:val="20"/>
          <w:lang w:val="en-GB"/>
        </w:rPr>
        <w:t>W</w:t>
      </w:r>
      <w:r w:rsidRPr="007556AB">
        <w:rPr>
          <w:sz w:val="20"/>
          <w:szCs w:val="20"/>
          <w:lang w:val="en-GB"/>
        </w:rPr>
        <w:t>hen LTE and NR have different numerolog</w:t>
      </w:r>
      <w:r>
        <w:rPr>
          <w:sz w:val="20"/>
          <w:szCs w:val="20"/>
          <w:lang w:val="en-GB"/>
        </w:rPr>
        <w:t>ies</w:t>
      </w:r>
      <w:r w:rsidRPr="007556AB">
        <w:rPr>
          <w:sz w:val="20"/>
          <w:szCs w:val="20"/>
          <w:lang w:val="en-GB"/>
        </w:rPr>
        <w:t xml:space="preserve"> and/or are asynchronous</w:t>
      </w:r>
      <w:r>
        <w:rPr>
          <w:sz w:val="20"/>
          <w:szCs w:val="20"/>
          <w:lang w:val="en-GB"/>
        </w:rPr>
        <w:t>,</w:t>
      </w:r>
      <w:r w:rsidRPr="007556AB">
        <w:rPr>
          <w:sz w:val="20"/>
          <w:szCs w:val="20"/>
          <w:lang w:val="en-GB"/>
        </w:rPr>
        <w:t xml:space="preserve"> </w:t>
      </w:r>
      <w:r w:rsidR="000350EC" w:rsidRPr="007556AB">
        <w:rPr>
          <w:sz w:val="20"/>
          <w:szCs w:val="20"/>
          <w:lang w:val="en-GB"/>
        </w:rPr>
        <w:t>the refer</w:t>
      </w:r>
      <w:r w:rsidRPr="007556AB">
        <w:rPr>
          <w:sz w:val="20"/>
          <w:szCs w:val="20"/>
          <w:lang w:val="en-GB"/>
        </w:rPr>
        <w:t>ence slot</w:t>
      </w:r>
      <w:r>
        <w:rPr>
          <w:sz w:val="20"/>
          <w:szCs w:val="20"/>
          <w:lang w:val="en-GB"/>
        </w:rPr>
        <w:t xml:space="preserve"> of NR to be considered in PH reporting on LTE is not defined. </w:t>
      </w:r>
      <w:r w:rsidRPr="007556AB">
        <w:rPr>
          <w:sz w:val="20"/>
          <w:szCs w:val="20"/>
          <w:lang w:val="en-GB"/>
        </w:rPr>
        <w:t xml:space="preserve"> </w:t>
      </w:r>
      <w:r>
        <w:rPr>
          <w:sz w:val="20"/>
          <w:szCs w:val="20"/>
          <w:lang w:val="en-GB"/>
        </w:rPr>
        <w:t>For this purpose, existing NR mechanism can be extended to include LTE. That is, the PH of the first slot of an active UL</w:t>
      </w:r>
      <w:r w:rsidR="00AF6AA4">
        <w:rPr>
          <w:sz w:val="20"/>
          <w:szCs w:val="20"/>
          <w:lang w:val="en-GB"/>
        </w:rPr>
        <w:t xml:space="preserve"> NR</w:t>
      </w:r>
      <w:r>
        <w:rPr>
          <w:sz w:val="20"/>
          <w:szCs w:val="20"/>
          <w:lang w:val="en-GB"/>
        </w:rPr>
        <w:t xml:space="preserve"> cell </w:t>
      </w:r>
      <w:r w:rsidR="00AF6AA4">
        <w:rPr>
          <w:sz w:val="20"/>
          <w:szCs w:val="20"/>
          <w:lang w:val="en-GB"/>
        </w:rPr>
        <w:t xml:space="preserve">that starts within the LTE subframe is reported. </w:t>
      </w:r>
    </w:p>
    <w:p w14:paraId="0A3B78FB" w14:textId="77777777" w:rsidR="00790F46" w:rsidRDefault="00790F46" w:rsidP="00284CD4">
      <w:pPr>
        <w:pStyle w:val="Default"/>
        <w:rPr>
          <w:sz w:val="20"/>
          <w:szCs w:val="20"/>
          <w:lang w:val="en-GB"/>
        </w:rPr>
      </w:pPr>
    </w:p>
    <w:p w14:paraId="12DB8790" w14:textId="3B9D68FF" w:rsidR="00AF6AA4" w:rsidRDefault="00AF6AA4" w:rsidP="00AF6AA4">
      <w:pPr>
        <w:pStyle w:val="Default"/>
        <w:rPr>
          <w:b/>
          <w:i/>
          <w:sz w:val="20"/>
          <w:szCs w:val="20"/>
          <w:lang w:val="en-GB"/>
        </w:rPr>
      </w:pPr>
      <w:r w:rsidRPr="000350EC">
        <w:rPr>
          <w:b/>
          <w:i/>
          <w:sz w:val="20"/>
          <w:szCs w:val="20"/>
          <w:lang w:val="en-GB"/>
        </w:rPr>
        <w:t xml:space="preserve">Proposal </w:t>
      </w:r>
      <w:r w:rsidR="006A5F14">
        <w:rPr>
          <w:b/>
          <w:i/>
          <w:sz w:val="20"/>
          <w:szCs w:val="20"/>
          <w:lang w:val="en-GB"/>
        </w:rPr>
        <w:t>5</w:t>
      </w:r>
      <w:r w:rsidRPr="000350EC">
        <w:rPr>
          <w:b/>
          <w:i/>
          <w:sz w:val="20"/>
          <w:szCs w:val="20"/>
          <w:lang w:val="en-GB"/>
        </w:rPr>
        <w:t xml:space="preserve">: For reporting NR PH </w:t>
      </w:r>
      <w:r w:rsidR="006A5F14">
        <w:rPr>
          <w:b/>
          <w:i/>
          <w:sz w:val="20"/>
          <w:szCs w:val="20"/>
          <w:lang w:val="en-GB"/>
        </w:rPr>
        <w:t>i</w:t>
      </w:r>
      <w:r w:rsidRPr="000350EC">
        <w:rPr>
          <w:b/>
          <w:i/>
          <w:sz w:val="20"/>
          <w:szCs w:val="20"/>
          <w:lang w:val="en-GB"/>
        </w:rPr>
        <w:t xml:space="preserve">n LTE, </w:t>
      </w:r>
      <w:r>
        <w:rPr>
          <w:b/>
          <w:i/>
          <w:sz w:val="20"/>
          <w:szCs w:val="20"/>
          <w:lang w:val="en-GB"/>
        </w:rPr>
        <w:t xml:space="preserve">the first slot of an active NR BWP that starts within the LTE subframe </w:t>
      </w:r>
      <w:r w:rsidR="00385ED7">
        <w:rPr>
          <w:b/>
          <w:i/>
          <w:sz w:val="20"/>
          <w:szCs w:val="20"/>
          <w:lang w:val="en-GB"/>
        </w:rPr>
        <w:t xml:space="preserve">carrying </w:t>
      </w:r>
      <w:r w:rsidR="00E16733">
        <w:rPr>
          <w:b/>
          <w:i/>
          <w:sz w:val="20"/>
          <w:szCs w:val="20"/>
          <w:lang w:val="en-GB"/>
        </w:rPr>
        <w:t xml:space="preserve">the </w:t>
      </w:r>
      <w:r w:rsidR="00385ED7">
        <w:rPr>
          <w:b/>
          <w:i/>
          <w:sz w:val="20"/>
          <w:szCs w:val="20"/>
          <w:lang w:val="en-GB"/>
        </w:rPr>
        <w:t xml:space="preserve">PHR </w:t>
      </w:r>
      <w:r>
        <w:rPr>
          <w:b/>
          <w:i/>
          <w:sz w:val="20"/>
          <w:szCs w:val="20"/>
          <w:lang w:val="en-GB"/>
        </w:rPr>
        <w:t xml:space="preserve">is considered. </w:t>
      </w:r>
    </w:p>
    <w:p w14:paraId="79358963" w14:textId="77777777" w:rsidR="00AF6AA4" w:rsidRDefault="00AF6AA4" w:rsidP="00284CD4">
      <w:pPr>
        <w:pStyle w:val="Default"/>
        <w:rPr>
          <w:sz w:val="20"/>
          <w:szCs w:val="20"/>
          <w:lang w:val="en-GB"/>
        </w:rPr>
      </w:pPr>
    </w:p>
    <w:p w14:paraId="0321EC2A" w14:textId="476DC61F" w:rsidR="00DC4ADC" w:rsidRDefault="00DC4ADC" w:rsidP="005C5548">
      <w:pPr>
        <w:pStyle w:val="Default"/>
        <w:rPr>
          <w:b/>
          <w:i/>
          <w:sz w:val="20"/>
          <w:szCs w:val="20"/>
          <w:lang w:val="en-GB"/>
        </w:rPr>
      </w:pPr>
    </w:p>
    <w:p w14:paraId="1BBCB76F" w14:textId="77777777" w:rsidR="00DC4ADC" w:rsidRDefault="00DC4ADC" w:rsidP="005C5548">
      <w:pPr>
        <w:pStyle w:val="Default"/>
        <w:rPr>
          <w:b/>
          <w:i/>
          <w:sz w:val="20"/>
          <w:szCs w:val="20"/>
          <w:lang w:val="en-GB"/>
        </w:rPr>
      </w:pPr>
    </w:p>
    <w:p w14:paraId="3A9F8A15" w14:textId="7F8AAC2B" w:rsidR="00762531" w:rsidRDefault="00762531" w:rsidP="001E4FCB">
      <w:pPr>
        <w:pStyle w:val="Default"/>
        <w:rPr>
          <w:sz w:val="20"/>
          <w:szCs w:val="20"/>
          <w:lang w:val="en-GB"/>
        </w:rPr>
      </w:pPr>
    </w:p>
    <w:p w14:paraId="7D7E3419" w14:textId="10699170" w:rsidR="00535B74" w:rsidRDefault="00535B74" w:rsidP="00762531">
      <w:pPr>
        <w:pStyle w:val="Heading1"/>
        <w:rPr>
          <w:color w:val="000000" w:themeColor="text1"/>
        </w:rPr>
      </w:pPr>
      <w:r w:rsidRPr="00535B74">
        <w:rPr>
          <w:color w:val="000000" w:themeColor="text1"/>
        </w:rPr>
        <w:lastRenderedPageBreak/>
        <w:t>Conclusions</w:t>
      </w:r>
    </w:p>
    <w:p w14:paraId="62FAC8C3" w14:textId="5D0E0A92" w:rsidR="006D073A" w:rsidRDefault="00DC4ADC" w:rsidP="00535B74">
      <w:pPr>
        <w:rPr>
          <w:lang w:val="en-GB"/>
        </w:rPr>
      </w:pPr>
      <w:r>
        <w:rPr>
          <w:lang w:val="en-GB"/>
        </w:rPr>
        <w:t>In this contribution, w</w:t>
      </w:r>
      <w:r w:rsidR="00B90615">
        <w:rPr>
          <w:lang w:val="en-GB"/>
        </w:rPr>
        <w:t xml:space="preserve">e have </w:t>
      </w:r>
      <w:r w:rsidR="00790F46">
        <w:rPr>
          <w:lang w:val="en-GB"/>
        </w:rPr>
        <w:t>discussed issues on reporting NR PH on LTE based on RAN2 agreements [1]. T</w:t>
      </w:r>
      <w:r>
        <w:rPr>
          <w:lang w:val="en-GB"/>
        </w:rPr>
        <w:t xml:space="preserve">he following </w:t>
      </w:r>
      <w:r w:rsidR="00790F46">
        <w:rPr>
          <w:lang w:val="en-GB"/>
        </w:rPr>
        <w:t xml:space="preserve">observations and </w:t>
      </w:r>
      <w:r w:rsidR="006D073A">
        <w:rPr>
          <w:lang w:val="en-GB"/>
        </w:rPr>
        <w:t>proposals</w:t>
      </w:r>
      <w:r w:rsidR="00790F46">
        <w:rPr>
          <w:lang w:val="en-GB"/>
        </w:rPr>
        <w:t xml:space="preserve"> have been made</w:t>
      </w:r>
      <w:r w:rsidR="006D073A">
        <w:rPr>
          <w:lang w:val="en-GB"/>
        </w:rPr>
        <w:t>:</w:t>
      </w:r>
    </w:p>
    <w:p w14:paraId="020972D4" w14:textId="77777777" w:rsidR="00790F46" w:rsidRPr="0003063A" w:rsidRDefault="00790F46" w:rsidP="00790F46">
      <w:pPr>
        <w:rPr>
          <w:b/>
          <w:i/>
        </w:rPr>
      </w:pPr>
      <w:r w:rsidRPr="0003063A">
        <w:rPr>
          <w:b/>
          <w:i/>
        </w:rPr>
        <w:t xml:space="preserve">Observation 1: There </w:t>
      </w:r>
      <w:r>
        <w:rPr>
          <w:b/>
          <w:i/>
        </w:rPr>
        <w:t>is often</w:t>
      </w:r>
      <w:r w:rsidRPr="0003063A">
        <w:rPr>
          <w:b/>
          <w:i/>
        </w:rPr>
        <w:t xml:space="preserve"> not enough processing time for an LTE UL transmission to carry the PHR of a configured NR UL </w:t>
      </w:r>
      <w:r>
        <w:rPr>
          <w:b/>
          <w:i/>
        </w:rPr>
        <w:t xml:space="preserve">transmission </w:t>
      </w:r>
      <w:r w:rsidRPr="0003063A">
        <w:rPr>
          <w:b/>
          <w:i/>
        </w:rPr>
        <w:t>that overlaps with the LTE transmission, regardless when the NR transmission is configured.</w:t>
      </w:r>
    </w:p>
    <w:p w14:paraId="64B86E9B" w14:textId="7FDF1639" w:rsidR="006A5F14" w:rsidRDefault="006A5F14" w:rsidP="006A5F14">
      <w:pPr>
        <w:pStyle w:val="Default"/>
        <w:rPr>
          <w:b/>
          <w:i/>
          <w:sz w:val="20"/>
          <w:szCs w:val="20"/>
          <w:lang w:val="en-GB"/>
        </w:rPr>
      </w:pPr>
      <w:r w:rsidRPr="006A5F14">
        <w:rPr>
          <w:b/>
          <w:i/>
          <w:sz w:val="20"/>
          <w:szCs w:val="20"/>
          <w:lang w:val="en-GB"/>
        </w:rPr>
        <w:t>Proposal 1:  No need to support cross</w:t>
      </w:r>
      <w:r>
        <w:rPr>
          <w:b/>
          <w:i/>
          <w:sz w:val="20"/>
          <w:szCs w:val="20"/>
          <w:lang w:val="en-GB"/>
        </w:rPr>
        <w:t>-</w:t>
      </w:r>
      <w:r w:rsidRPr="006A5F14">
        <w:rPr>
          <w:b/>
          <w:i/>
          <w:sz w:val="20"/>
          <w:szCs w:val="20"/>
          <w:lang w:val="en-GB"/>
        </w:rPr>
        <w:t xml:space="preserve">air-interface PHR report, i.e. NR PHR in LTE and LTE PHR in NR. </w:t>
      </w:r>
    </w:p>
    <w:p w14:paraId="12782CEB" w14:textId="77777777" w:rsidR="006A5F14" w:rsidRDefault="006A5F14" w:rsidP="006A5F14">
      <w:pPr>
        <w:pStyle w:val="Default"/>
        <w:rPr>
          <w:b/>
          <w:i/>
          <w:sz w:val="20"/>
          <w:szCs w:val="20"/>
          <w:lang w:val="en-GB"/>
        </w:rPr>
      </w:pPr>
    </w:p>
    <w:p w14:paraId="275FE979" w14:textId="77777777" w:rsidR="006A5F14" w:rsidRPr="006A5F14" w:rsidRDefault="006A5F14" w:rsidP="006A5F14">
      <w:pPr>
        <w:pStyle w:val="Default"/>
        <w:rPr>
          <w:b/>
          <w:i/>
          <w:sz w:val="20"/>
          <w:szCs w:val="20"/>
          <w:lang w:val="en-GB"/>
        </w:rPr>
      </w:pPr>
      <w:r>
        <w:rPr>
          <w:b/>
          <w:i/>
          <w:sz w:val="20"/>
          <w:szCs w:val="20"/>
          <w:lang w:val="en-GB"/>
        </w:rPr>
        <w:t xml:space="preserve">Proposal 2:  If Proposal 1 is not adopted, at least NR PHR in LTE should not be supported because it is not possible to provide an accurate PHR value.  </w:t>
      </w:r>
    </w:p>
    <w:p w14:paraId="258C7FFB" w14:textId="77777777" w:rsidR="006A5F14" w:rsidRDefault="006A5F14" w:rsidP="006A5F14">
      <w:pPr>
        <w:pStyle w:val="Default"/>
        <w:rPr>
          <w:sz w:val="20"/>
          <w:szCs w:val="20"/>
          <w:lang w:val="en-GB"/>
        </w:rPr>
      </w:pPr>
    </w:p>
    <w:p w14:paraId="1A167C6E" w14:textId="40BED0D5" w:rsidR="006A5F14" w:rsidRPr="000350EC" w:rsidRDefault="006A5F14" w:rsidP="006A5F14">
      <w:pPr>
        <w:pStyle w:val="Default"/>
        <w:rPr>
          <w:b/>
          <w:i/>
          <w:sz w:val="20"/>
          <w:szCs w:val="20"/>
          <w:lang w:val="en-GB"/>
        </w:rPr>
      </w:pPr>
      <w:r w:rsidRPr="009C610E">
        <w:rPr>
          <w:b/>
          <w:i/>
          <w:sz w:val="20"/>
          <w:szCs w:val="20"/>
          <w:lang w:val="en-GB"/>
        </w:rPr>
        <w:t xml:space="preserve">Proposal </w:t>
      </w:r>
      <w:r>
        <w:rPr>
          <w:b/>
          <w:i/>
          <w:sz w:val="20"/>
          <w:szCs w:val="20"/>
          <w:lang w:val="en-GB"/>
        </w:rPr>
        <w:t>3</w:t>
      </w:r>
      <w:r w:rsidRPr="000350EC">
        <w:rPr>
          <w:b/>
          <w:sz w:val="20"/>
          <w:szCs w:val="20"/>
          <w:lang w:val="en-GB"/>
        </w:rPr>
        <w:t>:</w:t>
      </w:r>
      <w:r w:rsidRPr="000350EC">
        <w:rPr>
          <w:b/>
          <w:i/>
          <w:sz w:val="20"/>
          <w:szCs w:val="20"/>
          <w:lang w:val="en-GB"/>
        </w:rPr>
        <w:t xml:space="preserve"> </w:t>
      </w:r>
      <w:r>
        <w:rPr>
          <w:b/>
          <w:i/>
          <w:sz w:val="20"/>
          <w:szCs w:val="20"/>
          <w:lang w:val="en-GB"/>
        </w:rPr>
        <w:t>If Proposal 1 and 2 are not adopted, for</w:t>
      </w:r>
      <w:r w:rsidRPr="000350EC">
        <w:rPr>
          <w:b/>
          <w:i/>
          <w:sz w:val="20"/>
          <w:szCs w:val="20"/>
          <w:lang w:val="en-GB"/>
        </w:rPr>
        <w:t xml:space="preserve"> reference PHR </w:t>
      </w:r>
      <w:r>
        <w:rPr>
          <w:b/>
          <w:i/>
          <w:sz w:val="20"/>
          <w:szCs w:val="20"/>
          <w:lang w:val="en-GB"/>
        </w:rPr>
        <w:t>of</w:t>
      </w:r>
      <w:r w:rsidRPr="000350EC">
        <w:rPr>
          <w:b/>
          <w:i/>
          <w:sz w:val="20"/>
          <w:szCs w:val="20"/>
          <w:lang w:val="en-GB"/>
        </w:rPr>
        <w:t xml:space="preserve"> NR</w:t>
      </w:r>
      <w:r>
        <w:rPr>
          <w:b/>
          <w:i/>
          <w:sz w:val="20"/>
          <w:szCs w:val="20"/>
          <w:lang w:val="en-GB"/>
        </w:rPr>
        <w:t xml:space="preserve"> to be reported in LTE</w:t>
      </w:r>
      <w:r w:rsidRPr="000350EC">
        <w:rPr>
          <w:b/>
          <w:i/>
        </w:rPr>
        <w:t xml:space="preserve">, </w:t>
      </w:r>
      <w:r w:rsidRPr="000350EC">
        <w:rPr>
          <w:b/>
          <w:i/>
          <w:sz w:val="20"/>
          <w:szCs w:val="20"/>
          <w:lang w:val="en-GB"/>
        </w:rPr>
        <w:t>f(</w:t>
      </w:r>
      <w:proofErr w:type="spellStart"/>
      <w:proofErr w:type="gramStart"/>
      <w:r w:rsidRPr="000350EC">
        <w:rPr>
          <w:b/>
          <w:i/>
          <w:sz w:val="20"/>
          <w:szCs w:val="20"/>
          <w:lang w:val="en-GB"/>
        </w:rPr>
        <w:t>i,l</w:t>
      </w:r>
      <w:proofErr w:type="spellEnd"/>
      <w:proofErr w:type="gramEnd"/>
      <w:r w:rsidRPr="000350EC">
        <w:rPr>
          <w:b/>
          <w:i/>
          <w:sz w:val="20"/>
          <w:szCs w:val="20"/>
          <w:lang w:val="en-GB"/>
        </w:rPr>
        <w:t>)</w:t>
      </w:r>
      <w:r w:rsidRPr="006A5F14">
        <w:rPr>
          <w:b/>
          <w:i/>
          <w:sz w:val="20"/>
          <w:szCs w:val="20"/>
          <w:lang w:val="en-GB"/>
        </w:rPr>
        <w:t xml:space="preserve">  should be </w:t>
      </w:r>
      <w:r w:rsidRPr="009C610E">
        <w:rPr>
          <w:b/>
          <w:i/>
          <w:sz w:val="20"/>
          <w:szCs w:val="20"/>
          <w:lang w:val="en-GB"/>
        </w:rPr>
        <w:t>allowed to</w:t>
      </w:r>
      <w:r w:rsidRPr="006A5F14">
        <w:rPr>
          <w:b/>
          <w:i/>
          <w:sz w:val="20"/>
          <w:szCs w:val="20"/>
          <w:lang w:val="en-GB"/>
        </w:rPr>
        <w:t xml:space="preserve"> </w:t>
      </w:r>
      <w:r w:rsidRPr="000350EC">
        <w:rPr>
          <w:b/>
          <w:i/>
          <w:sz w:val="20"/>
          <w:szCs w:val="20"/>
          <w:lang w:val="en-GB"/>
        </w:rPr>
        <w:t>includ</w:t>
      </w:r>
      <w:r>
        <w:rPr>
          <w:b/>
          <w:i/>
          <w:sz w:val="20"/>
          <w:szCs w:val="20"/>
          <w:lang w:val="en-GB"/>
        </w:rPr>
        <w:t>e</w:t>
      </w:r>
      <w:r w:rsidRPr="000350EC">
        <w:rPr>
          <w:b/>
          <w:i/>
          <w:sz w:val="20"/>
          <w:szCs w:val="20"/>
          <w:lang w:val="en-GB"/>
        </w:rPr>
        <w:t xml:space="preserve"> TPC accumulation up to any time in between PHR trigger and min{k2} slots prior to the reference slot</w:t>
      </w:r>
      <w:r>
        <w:rPr>
          <w:b/>
          <w:i/>
          <w:sz w:val="20"/>
          <w:szCs w:val="20"/>
          <w:lang w:val="en-GB"/>
        </w:rPr>
        <w:t xml:space="preserve"> </w:t>
      </w:r>
      <w:r>
        <w:rPr>
          <w:b/>
          <w:i/>
          <w:sz w:val="20"/>
          <w:szCs w:val="20"/>
          <w:lang w:val="en-GB"/>
        </w:rPr>
        <w:t xml:space="preserve">(which </w:t>
      </w:r>
      <w:r>
        <w:rPr>
          <w:b/>
          <w:i/>
          <w:sz w:val="20"/>
          <w:szCs w:val="20"/>
          <w:lang w:val="en-GB"/>
        </w:rPr>
        <w:t>mak</w:t>
      </w:r>
      <w:r>
        <w:rPr>
          <w:b/>
          <w:i/>
          <w:sz w:val="20"/>
          <w:szCs w:val="20"/>
          <w:lang w:val="en-GB"/>
        </w:rPr>
        <w:t>es</w:t>
      </w:r>
      <w:r>
        <w:rPr>
          <w:b/>
          <w:i/>
          <w:sz w:val="20"/>
          <w:szCs w:val="20"/>
          <w:lang w:val="en-GB"/>
        </w:rPr>
        <w:t xml:space="preserve"> the PHR inaccurate</w:t>
      </w:r>
      <w:r>
        <w:rPr>
          <w:b/>
          <w:i/>
          <w:sz w:val="20"/>
          <w:szCs w:val="20"/>
          <w:lang w:val="en-GB"/>
        </w:rPr>
        <w:t>)</w:t>
      </w:r>
      <w:r w:rsidRPr="000350EC">
        <w:rPr>
          <w:b/>
          <w:i/>
          <w:sz w:val="20"/>
          <w:szCs w:val="20"/>
          <w:lang w:val="en-GB"/>
        </w:rPr>
        <w:t>.</w:t>
      </w:r>
    </w:p>
    <w:p w14:paraId="25252DC7" w14:textId="77777777" w:rsidR="006A5F14" w:rsidRDefault="006A5F14" w:rsidP="006A5F14">
      <w:pPr>
        <w:pStyle w:val="Default"/>
        <w:rPr>
          <w:sz w:val="20"/>
          <w:szCs w:val="20"/>
          <w:lang w:val="en-GB"/>
        </w:rPr>
      </w:pPr>
    </w:p>
    <w:p w14:paraId="1E59E896" w14:textId="77777777" w:rsidR="006A5F14" w:rsidRDefault="006A5F14" w:rsidP="006A5F14">
      <w:pPr>
        <w:pStyle w:val="Default"/>
        <w:rPr>
          <w:b/>
          <w:i/>
          <w:sz w:val="20"/>
          <w:szCs w:val="20"/>
          <w:lang w:val="en-GB"/>
        </w:rPr>
      </w:pPr>
      <w:r w:rsidRPr="000350EC">
        <w:rPr>
          <w:b/>
          <w:i/>
          <w:sz w:val="20"/>
          <w:szCs w:val="20"/>
          <w:lang w:val="en-GB"/>
        </w:rPr>
        <w:t xml:space="preserve">Proposal </w:t>
      </w:r>
      <w:r>
        <w:rPr>
          <w:b/>
          <w:i/>
          <w:sz w:val="20"/>
          <w:szCs w:val="20"/>
          <w:lang w:val="en-GB"/>
        </w:rPr>
        <w:t>4</w:t>
      </w:r>
      <w:r w:rsidRPr="000350EC">
        <w:rPr>
          <w:b/>
          <w:i/>
          <w:sz w:val="20"/>
          <w:szCs w:val="20"/>
          <w:lang w:val="en-GB"/>
        </w:rPr>
        <w:t xml:space="preserve">: </w:t>
      </w:r>
      <w:r>
        <w:rPr>
          <w:b/>
          <w:i/>
          <w:sz w:val="20"/>
          <w:szCs w:val="20"/>
          <w:lang w:val="en-GB"/>
        </w:rPr>
        <w:t>If Proposal 1 and 2 are not adopted, f</w:t>
      </w:r>
      <w:r w:rsidRPr="000350EC">
        <w:rPr>
          <w:b/>
          <w:i/>
          <w:sz w:val="20"/>
          <w:szCs w:val="20"/>
          <w:lang w:val="en-GB"/>
        </w:rPr>
        <w:t xml:space="preserve">or reporting NR PH </w:t>
      </w:r>
      <w:r>
        <w:rPr>
          <w:b/>
          <w:i/>
          <w:sz w:val="20"/>
          <w:szCs w:val="20"/>
          <w:lang w:val="en-GB"/>
        </w:rPr>
        <w:t>i</w:t>
      </w:r>
      <w:r w:rsidRPr="000350EC">
        <w:rPr>
          <w:b/>
          <w:i/>
          <w:sz w:val="20"/>
          <w:szCs w:val="20"/>
          <w:lang w:val="en-GB"/>
        </w:rPr>
        <w:t xml:space="preserve">n LTE, </w:t>
      </w:r>
      <w:r>
        <w:rPr>
          <w:b/>
          <w:i/>
          <w:sz w:val="20"/>
          <w:szCs w:val="20"/>
          <w:lang w:val="en-GB"/>
        </w:rPr>
        <w:t>it is up to UE to decide if the PHR is based on a reference or real transmission</w:t>
      </w:r>
      <w:r w:rsidRPr="000350EC">
        <w:rPr>
          <w:b/>
          <w:i/>
          <w:sz w:val="20"/>
          <w:szCs w:val="20"/>
          <w:lang w:val="en-GB"/>
        </w:rPr>
        <w:t xml:space="preserve">. </w:t>
      </w:r>
    </w:p>
    <w:p w14:paraId="5DFA3815" w14:textId="77777777" w:rsidR="009C610E" w:rsidRPr="003D5F4B" w:rsidRDefault="009C610E" w:rsidP="009C610E">
      <w:pPr>
        <w:pStyle w:val="Default"/>
        <w:rPr>
          <w:sz w:val="20"/>
          <w:szCs w:val="20"/>
          <w:lang w:val="en-GB"/>
        </w:rPr>
      </w:pPr>
    </w:p>
    <w:p w14:paraId="6346561E" w14:textId="50349AFA" w:rsidR="009C610E" w:rsidRPr="003D5F4B" w:rsidRDefault="009C610E" w:rsidP="009C610E">
      <w:pPr>
        <w:pStyle w:val="Default"/>
        <w:rPr>
          <w:b/>
          <w:i/>
          <w:sz w:val="20"/>
          <w:szCs w:val="20"/>
          <w:lang w:val="en-GB"/>
        </w:rPr>
      </w:pPr>
      <w:r w:rsidRPr="003D5F4B">
        <w:rPr>
          <w:b/>
          <w:i/>
          <w:sz w:val="20"/>
          <w:szCs w:val="20"/>
          <w:lang w:val="en-GB"/>
        </w:rPr>
        <w:t xml:space="preserve">Proposal </w:t>
      </w:r>
      <w:r w:rsidR="006A5F14">
        <w:rPr>
          <w:b/>
          <w:i/>
          <w:sz w:val="20"/>
          <w:szCs w:val="20"/>
          <w:lang w:val="en-GB"/>
        </w:rPr>
        <w:t>5</w:t>
      </w:r>
      <w:r w:rsidRPr="003D5F4B">
        <w:rPr>
          <w:b/>
          <w:i/>
          <w:sz w:val="20"/>
          <w:szCs w:val="20"/>
          <w:lang w:val="en-GB"/>
        </w:rPr>
        <w:t xml:space="preserve">: For reporting NR PH </w:t>
      </w:r>
      <w:r w:rsidR="006A5F14">
        <w:rPr>
          <w:b/>
          <w:i/>
          <w:sz w:val="20"/>
          <w:szCs w:val="20"/>
          <w:lang w:val="en-GB"/>
        </w:rPr>
        <w:t>i</w:t>
      </w:r>
      <w:r w:rsidRPr="003D5F4B">
        <w:rPr>
          <w:b/>
          <w:i/>
          <w:sz w:val="20"/>
          <w:szCs w:val="20"/>
          <w:lang w:val="en-GB"/>
        </w:rPr>
        <w:t>n LTE, the first slot of an active NR BWP that starts within the LTE subframe</w:t>
      </w:r>
      <w:r w:rsidR="00385ED7">
        <w:rPr>
          <w:b/>
          <w:i/>
          <w:sz w:val="20"/>
          <w:szCs w:val="20"/>
          <w:lang w:val="en-GB"/>
        </w:rPr>
        <w:t xml:space="preserve"> carrying </w:t>
      </w:r>
      <w:r w:rsidR="00E16733">
        <w:rPr>
          <w:b/>
          <w:i/>
          <w:sz w:val="20"/>
          <w:szCs w:val="20"/>
          <w:lang w:val="en-GB"/>
        </w:rPr>
        <w:t xml:space="preserve">the </w:t>
      </w:r>
      <w:r w:rsidR="00385ED7">
        <w:rPr>
          <w:b/>
          <w:i/>
          <w:sz w:val="20"/>
          <w:szCs w:val="20"/>
          <w:lang w:val="en-GB"/>
        </w:rPr>
        <w:t>PHR</w:t>
      </w:r>
      <w:r w:rsidRPr="003D5F4B">
        <w:rPr>
          <w:b/>
          <w:i/>
          <w:sz w:val="20"/>
          <w:szCs w:val="20"/>
          <w:lang w:val="en-GB"/>
        </w:rPr>
        <w:t xml:space="preserve"> is considered. </w:t>
      </w:r>
    </w:p>
    <w:p w14:paraId="5E4E98F2" w14:textId="26EE393D" w:rsidR="006D073A" w:rsidRPr="003D5F4B" w:rsidRDefault="006D073A" w:rsidP="00535B74">
      <w:pPr>
        <w:rPr>
          <w:lang w:val="en-GB"/>
        </w:rPr>
      </w:pPr>
    </w:p>
    <w:bookmarkEnd w:id="3"/>
    <w:bookmarkEnd w:id="4"/>
    <w:p w14:paraId="64099BEB" w14:textId="69A78F6C" w:rsidR="002F77EB" w:rsidRPr="00F0497A" w:rsidRDefault="00E523F3" w:rsidP="008D0DF4">
      <w:pPr>
        <w:pStyle w:val="Heading1"/>
        <w:spacing w:before="480"/>
        <w:jc w:val="both"/>
        <w:rPr>
          <w:lang w:val="en-US"/>
        </w:rPr>
      </w:pPr>
      <w:r w:rsidRPr="000A64D8">
        <w:rPr>
          <w:lang w:val="en-US"/>
        </w:rPr>
        <w:t>References</w:t>
      </w:r>
      <w:bookmarkStart w:id="6" w:name="_Ref457730460"/>
      <w:bookmarkStart w:id="7" w:name="_Ref450735844"/>
      <w:bookmarkStart w:id="8" w:name="_Ref450342757"/>
      <w:r w:rsidR="002F77EB" w:rsidRPr="005D74B7">
        <w:rPr>
          <w:rFonts w:hint="eastAsia"/>
        </w:rPr>
        <w:tab/>
      </w:r>
    </w:p>
    <w:p w14:paraId="7EDAB6B7" w14:textId="43527C35" w:rsidR="003B5638" w:rsidRDefault="009C610E" w:rsidP="006A0D18">
      <w:pPr>
        <w:pStyle w:val="ListParagraph"/>
        <w:numPr>
          <w:ilvl w:val="0"/>
          <w:numId w:val="2"/>
        </w:numPr>
        <w:jc w:val="both"/>
        <w:rPr>
          <w:rFonts w:ascii="Times New Roman" w:eastAsia="SimSun" w:hAnsi="Times New Roman"/>
          <w:sz w:val="20"/>
          <w:szCs w:val="20"/>
        </w:rPr>
      </w:pPr>
      <w:bookmarkStart w:id="9" w:name="_Ref461383190"/>
      <w:r w:rsidRPr="009C610E">
        <w:rPr>
          <w:rFonts w:ascii="Times New Roman" w:hAnsi="Times New Roman"/>
          <w:sz w:val="20"/>
          <w:szCs w:val="20"/>
        </w:rPr>
        <w:t>R</w:t>
      </w:r>
      <w:r w:rsidR="00DD2942">
        <w:rPr>
          <w:rFonts w:ascii="Times New Roman" w:hAnsi="Times New Roman"/>
          <w:sz w:val="20"/>
          <w:szCs w:val="20"/>
        </w:rPr>
        <w:t>1</w:t>
      </w:r>
      <w:r w:rsidRPr="009C610E">
        <w:rPr>
          <w:rFonts w:ascii="Times New Roman" w:hAnsi="Times New Roman"/>
          <w:sz w:val="20"/>
          <w:szCs w:val="20"/>
        </w:rPr>
        <w:t>-1</w:t>
      </w:r>
      <w:r w:rsidR="00DD2942">
        <w:rPr>
          <w:rFonts w:ascii="Times New Roman" w:hAnsi="Times New Roman"/>
          <w:sz w:val="20"/>
          <w:szCs w:val="20"/>
        </w:rPr>
        <w:t>901487</w:t>
      </w:r>
      <w:r w:rsidR="004316C1">
        <w:rPr>
          <w:rFonts w:ascii="Times New Roman" w:hAnsi="Times New Roman"/>
          <w:sz w:val="20"/>
          <w:szCs w:val="20"/>
        </w:rPr>
        <w:t xml:space="preserve"> </w:t>
      </w:r>
      <w:r w:rsidR="004316C1" w:rsidRPr="004316C1">
        <w:rPr>
          <w:rFonts w:ascii="Times New Roman" w:hAnsi="Times New Roman"/>
          <w:sz w:val="20"/>
          <w:szCs w:val="20"/>
        </w:rPr>
        <w:t>(</w:t>
      </w:r>
      <w:r w:rsidR="004316C1" w:rsidRPr="004316C1">
        <w:rPr>
          <w:rFonts w:ascii="Times New Roman" w:hAnsi="Times New Roman"/>
          <w:bCs/>
          <w:sz w:val="20"/>
          <w:szCs w:val="20"/>
        </w:rPr>
        <w:t>R2-1819101)</w:t>
      </w:r>
      <w:r w:rsidRPr="004316C1">
        <w:rPr>
          <w:rFonts w:ascii="Times New Roman" w:hAnsi="Times New Roman"/>
          <w:sz w:val="20"/>
          <w:szCs w:val="20"/>
        </w:rPr>
        <w:t>,</w:t>
      </w:r>
      <w:r w:rsidRPr="009C610E">
        <w:rPr>
          <w:rFonts w:ascii="Times New Roman" w:hAnsi="Times New Roman"/>
          <w:sz w:val="20"/>
          <w:szCs w:val="20"/>
        </w:rPr>
        <w:t xml:space="preserve"> “L</w:t>
      </w:r>
      <w:r w:rsidRPr="009C610E">
        <w:rPr>
          <w:rFonts w:ascii="Times New Roman" w:hAnsi="Times New Roman"/>
          <w:bCs/>
          <w:sz w:val="20"/>
          <w:szCs w:val="20"/>
        </w:rPr>
        <w:t xml:space="preserve">S on PHR procedure in dual-connectivity” </w:t>
      </w:r>
      <w:r w:rsidR="003B5638" w:rsidRPr="009C610E">
        <w:rPr>
          <w:rFonts w:ascii="Times New Roman" w:eastAsia="SimSun" w:hAnsi="Times New Roman"/>
          <w:sz w:val="20"/>
          <w:szCs w:val="20"/>
        </w:rPr>
        <w:t xml:space="preserve">3GPP </w:t>
      </w:r>
      <w:r w:rsidR="004316C1">
        <w:rPr>
          <w:rFonts w:ascii="Times New Roman" w:eastAsia="SimSun" w:hAnsi="Times New Roman"/>
          <w:sz w:val="20"/>
          <w:szCs w:val="20"/>
        </w:rPr>
        <w:t xml:space="preserve">RN1 #96, Feb. 2019. </w:t>
      </w:r>
    </w:p>
    <w:p w14:paraId="788BA13A" w14:textId="3686499C" w:rsidR="009C610E" w:rsidRPr="009C610E" w:rsidRDefault="009C610E" w:rsidP="006A0D18">
      <w:pPr>
        <w:pStyle w:val="ListParagraph"/>
        <w:numPr>
          <w:ilvl w:val="0"/>
          <w:numId w:val="2"/>
        </w:numPr>
        <w:jc w:val="both"/>
        <w:rPr>
          <w:rFonts w:ascii="Times New Roman" w:eastAsia="SimSun" w:hAnsi="Times New Roman"/>
          <w:sz w:val="20"/>
          <w:szCs w:val="20"/>
        </w:rPr>
      </w:pPr>
      <w:r>
        <w:rPr>
          <w:rFonts w:ascii="Times New Roman" w:hAnsi="Times New Roman"/>
          <w:sz w:val="20"/>
          <w:szCs w:val="20"/>
        </w:rPr>
        <w:t>TS 38.213</w:t>
      </w:r>
      <w:r w:rsidR="008B4AF9">
        <w:rPr>
          <w:rFonts w:ascii="Times New Roman" w:hAnsi="Times New Roman"/>
          <w:sz w:val="20"/>
          <w:szCs w:val="20"/>
        </w:rPr>
        <w:t xml:space="preserve"> v15.4.0</w:t>
      </w:r>
      <w:r>
        <w:rPr>
          <w:rFonts w:ascii="Times New Roman" w:hAnsi="Times New Roman"/>
          <w:sz w:val="20"/>
          <w:szCs w:val="20"/>
        </w:rPr>
        <w:t>, Jan. 2019</w:t>
      </w:r>
    </w:p>
    <w:p w14:paraId="7ABF8F86" w14:textId="77777777" w:rsidR="006D073A" w:rsidRDefault="006D073A" w:rsidP="00AE384B">
      <w:pPr>
        <w:pStyle w:val="ListParagraph"/>
        <w:ind w:left="567"/>
        <w:jc w:val="both"/>
        <w:rPr>
          <w:rFonts w:ascii="Times New Roman" w:eastAsia="SimSun" w:hAnsi="Times New Roman"/>
          <w:sz w:val="20"/>
        </w:rPr>
      </w:pPr>
    </w:p>
    <w:p w14:paraId="5A8E6FD8" w14:textId="24B11238" w:rsidR="00B90615" w:rsidRDefault="00B90615" w:rsidP="00B90615">
      <w:pPr>
        <w:jc w:val="both"/>
      </w:pPr>
    </w:p>
    <w:bookmarkEnd w:id="6"/>
    <w:bookmarkEnd w:id="7"/>
    <w:bookmarkEnd w:id="8"/>
    <w:bookmarkEnd w:id="9"/>
    <w:p w14:paraId="45D5CA0F" w14:textId="77777777" w:rsidR="00CE53DF" w:rsidRDefault="00CE53DF" w:rsidP="00DA2934">
      <w:pPr>
        <w:pStyle w:val="B1"/>
        <w:ind w:left="852"/>
      </w:pPr>
    </w:p>
    <w:sectPr w:rsidR="00CE53DF"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E961E" w14:textId="77777777" w:rsidR="006B77C9" w:rsidRDefault="006B77C9">
      <w:r>
        <w:separator/>
      </w:r>
    </w:p>
  </w:endnote>
  <w:endnote w:type="continuationSeparator" w:id="0">
    <w:p w14:paraId="1BC23779" w14:textId="77777777" w:rsidR="006B77C9" w:rsidRDefault="006B77C9">
      <w:r>
        <w:continuationSeparator/>
      </w:r>
    </w:p>
  </w:endnote>
  <w:endnote w:type="continuationNotice" w:id="1">
    <w:p w14:paraId="42EF8280" w14:textId="77777777" w:rsidR="006B77C9" w:rsidRDefault="006B77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1510A" w14:textId="77777777" w:rsidR="006B77C9" w:rsidRDefault="006B77C9">
      <w:r>
        <w:separator/>
      </w:r>
    </w:p>
  </w:footnote>
  <w:footnote w:type="continuationSeparator" w:id="0">
    <w:p w14:paraId="5AD75FF6" w14:textId="77777777" w:rsidR="006B77C9" w:rsidRDefault="006B77C9">
      <w:r>
        <w:continuationSeparator/>
      </w:r>
    </w:p>
  </w:footnote>
  <w:footnote w:type="continuationNotice" w:id="1">
    <w:p w14:paraId="16F1A23C" w14:textId="77777777" w:rsidR="006B77C9" w:rsidRDefault="006B77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647CD"/>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643DE7"/>
    <w:multiLevelType w:val="hybridMultilevel"/>
    <w:tmpl w:val="12F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7C6D23"/>
    <w:multiLevelType w:val="hybridMultilevel"/>
    <w:tmpl w:val="2FC4C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6134FD"/>
    <w:multiLevelType w:val="hybridMultilevel"/>
    <w:tmpl w:val="C14E7EBC"/>
    <w:lvl w:ilvl="0" w:tplc="8C1A2E28">
      <w:start w:val="1"/>
      <w:numFmt w:val="decimal"/>
      <w:lvlText w:val="%1."/>
      <w:lvlJc w:val="left"/>
      <w:pPr>
        <w:ind w:left="720" w:hanging="360"/>
      </w:pPr>
      <w:rPr>
        <w:rFonts w:cs="Times New Roman"/>
        <w:color w:val="171717"/>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15:restartNumberingAfterBreak="0">
    <w:nsid w:val="1D4C30DC"/>
    <w:multiLevelType w:val="hybridMultilevel"/>
    <w:tmpl w:val="6BBC67CA"/>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8" w15:restartNumberingAfterBreak="0">
    <w:nsid w:val="21740C6F"/>
    <w:multiLevelType w:val="hybridMultilevel"/>
    <w:tmpl w:val="6282A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7E2CC8"/>
    <w:multiLevelType w:val="multilevel"/>
    <w:tmpl w:val="7E923E4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8B2634"/>
    <w:multiLevelType w:val="hybridMultilevel"/>
    <w:tmpl w:val="C478A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C417AC"/>
    <w:multiLevelType w:val="hybridMultilevel"/>
    <w:tmpl w:val="CA328216"/>
    <w:lvl w:ilvl="0" w:tplc="920C7F54">
      <w:numFmt w:val="bullet"/>
      <w:lvlText w:val="-"/>
      <w:lvlJc w:val="left"/>
      <w:pPr>
        <w:ind w:left="1080" w:hanging="360"/>
      </w:pPr>
      <w:rPr>
        <w:rFonts w:ascii="Times" w:hAnsi="Times" w:hint="default"/>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172823"/>
    <w:multiLevelType w:val="hybridMultilevel"/>
    <w:tmpl w:val="E100600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E053BFE"/>
    <w:multiLevelType w:val="hybridMultilevel"/>
    <w:tmpl w:val="87228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7C046F"/>
    <w:multiLevelType w:val="hybridMultilevel"/>
    <w:tmpl w:val="B0263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33C6BEA"/>
    <w:multiLevelType w:val="hybridMultilevel"/>
    <w:tmpl w:val="84041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ED65B3"/>
    <w:multiLevelType w:val="hybridMultilevel"/>
    <w:tmpl w:val="9D264F3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3C2E4A"/>
    <w:multiLevelType w:val="hybridMultilevel"/>
    <w:tmpl w:val="E25EC7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1510741"/>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0"/>
  </w:num>
  <w:num w:numId="3">
    <w:abstractNumId w:val="4"/>
  </w:num>
  <w:num w:numId="4">
    <w:abstractNumId w:val="20"/>
  </w:num>
  <w:num w:numId="5">
    <w:abstractNumId w:val="17"/>
  </w:num>
  <w:num w:numId="6">
    <w:abstractNumId w:val="25"/>
  </w:num>
  <w:num w:numId="7">
    <w:abstractNumId w:val="37"/>
  </w:num>
  <w:num w:numId="8">
    <w:abstractNumId w:val="26"/>
  </w:num>
  <w:num w:numId="9">
    <w:abstractNumId w:val="23"/>
  </w:num>
  <w:num w:numId="10">
    <w:abstractNumId w:val="36"/>
  </w:num>
  <w:num w:numId="11">
    <w:abstractNumId w:val="22"/>
  </w:num>
  <w:num w:numId="12">
    <w:abstractNumId w:val="32"/>
  </w:num>
  <w:num w:numId="13">
    <w:abstractNumId w:val="24"/>
  </w:num>
  <w:num w:numId="14">
    <w:abstractNumId w:val="15"/>
  </w:num>
  <w:num w:numId="15">
    <w:abstractNumId w:val="10"/>
  </w:num>
  <w:num w:numId="16">
    <w:abstractNumId w:val="11"/>
  </w:num>
  <w:num w:numId="17">
    <w:abstractNumId w:val="27"/>
  </w:num>
  <w:num w:numId="18">
    <w:abstractNumId w:val="7"/>
  </w:num>
  <w:num w:numId="19">
    <w:abstractNumId w:val="19"/>
  </w:num>
  <w:num w:numId="20">
    <w:abstractNumId w:val="31"/>
  </w:num>
  <w:num w:numId="21">
    <w:abstractNumId w:val="35"/>
  </w:num>
  <w:num w:numId="22">
    <w:abstractNumId w:val="3"/>
  </w:num>
  <w:num w:numId="23">
    <w:abstractNumId w:val="30"/>
  </w:num>
  <w:num w:numId="24">
    <w:abstractNumId w:val="28"/>
  </w:num>
  <w:num w:numId="25">
    <w:abstractNumId w:val="21"/>
  </w:num>
  <w:num w:numId="26">
    <w:abstractNumId w:val="1"/>
  </w:num>
  <w:num w:numId="27">
    <w:abstractNumId w:val="33"/>
  </w:num>
  <w:num w:numId="28">
    <w:abstractNumId w:val="16"/>
  </w:num>
  <w:num w:numId="29">
    <w:abstractNumId w:val="5"/>
  </w:num>
  <w:num w:numId="30">
    <w:abstractNumId w:val="18"/>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12"/>
  </w:num>
  <w:num w:numId="34">
    <w:abstractNumId w:val="13"/>
  </w:num>
  <w:num w:numId="35">
    <w:abstractNumId w:val="34"/>
  </w:num>
  <w:num w:numId="36">
    <w:abstractNumId w:val="2"/>
  </w:num>
  <w:num w:numId="37">
    <w:abstractNumId w:val="9"/>
  </w:num>
  <w:num w:numId="38">
    <w:abstractNumId w:val="8"/>
  </w:num>
  <w:num w:numId="39">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619"/>
    <w:rsid w:val="0003063A"/>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9E5"/>
    <w:rsid w:val="00042BFC"/>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6A"/>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5CC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786"/>
    <w:rsid w:val="000F095B"/>
    <w:rsid w:val="000F09C7"/>
    <w:rsid w:val="000F0C8B"/>
    <w:rsid w:val="000F13C4"/>
    <w:rsid w:val="000F13D7"/>
    <w:rsid w:val="000F17E4"/>
    <w:rsid w:val="000F1878"/>
    <w:rsid w:val="000F1AD6"/>
    <w:rsid w:val="000F1CF3"/>
    <w:rsid w:val="000F1F98"/>
    <w:rsid w:val="000F20CD"/>
    <w:rsid w:val="000F2247"/>
    <w:rsid w:val="000F2965"/>
    <w:rsid w:val="000F34C7"/>
    <w:rsid w:val="000F3B40"/>
    <w:rsid w:val="000F3F2F"/>
    <w:rsid w:val="000F42EA"/>
    <w:rsid w:val="000F46BB"/>
    <w:rsid w:val="000F4CAF"/>
    <w:rsid w:val="000F4D2F"/>
    <w:rsid w:val="000F4F44"/>
    <w:rsid w:val="000F53CB"/>
    <w:rsid w:val="000F53FC"/>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1EA7"/>
    <w:rsid w:val="00152066"/>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A19"/>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E9"/>
    <w:rsid w:val="002350AB"/>
    <w:rsid w:val="00235581"/>
    <w:rsid w:val="00235698"/>
    <w:rsid w:val="00235E6D"/>
    <w:rsid w:val="00236122"/>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84B"/>
    <w:rsid w:val="0024286B"/>
    <w:rsid w:val="00242872"/>
    <w:rsid w:val="00242953"/>
    <w:rsid w:val="00242B2A"/>
    <w:rsid w:val="00242CAE"/>
    <w:rsid w:val="002436D6"/>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429A"/>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CD4"/>
    <w:rsid w:val="00284E7F"/>
    <w:rsid w:val="0028550D"/>
    <w:rsid w:val="00285520"/>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B29"/>
    <w:rsid w:val="00337C71"/>
    <w:rsid w:val="00340CC6"/>
    <w:rsid w:val="00340E58"/>
    <w:rsid w:val="00341087"/>
    <w:rsid w:val="00341706"/>
    <w:rsid w:val="00341CFA"/>
    <w:rsid w:val="0034246D"/>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D5B"/>
    <w:rsid w:val="00370285"/>
    <w:rsid w:val="003704EE"/>
    <w:rsid w:val="00370880"/>
    <w:rsid w:val="00370EFD"/>
    <w:rsid w:val="00371137"/>
    <w:rsid w:val="003711C5"/>
    <w:rsid w:val="00371621"/>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CB5"/>
    <w:rsid w:val="00383D4B"/>
    <w:rsid w:val="00383DDB"/>
    <w:rsid w:val="00383F84"/>
    <w:rsid w:val="003842A8"/>
    <w:rsid w:val="00384747"/>
    <w:rsid w:val="003848D9"/>
    <w:rsid w:val="00384BC0"/>
    <w:rsid w:val="003852CC"/>
    <w:rsid w:val="003853F0"/>
    <w:rsid w:val="00385A70"/>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1E1"/>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799"/>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29E"/>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09C"/>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3FD9"/>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E9E"/>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EE"/>
    <w:rsid w:val="00536D47"/>
    <w:rsid w:val="00537092"/>
    <w:rsid w:val="00537640"/>
    <w:rsid w:val="00537989"/>
    <w:rsid w:val="00537BE9"/>
    <w:rsid w:val="00537E0E"/>
    <w:rsid w:val="00540055"/>
    <w:rsid w:val="00540147"/>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CDC"/>
    <w:rsid w:val="00563FD2"/>
    <w:rsid w:val="0056434D"/>
    <w:rsid w:val="00564597"/>
    <w:rsid w:val="00564903"/>
    <w:rsid w:val="00564E6A"/>
    <w:rsid w:val="00564EB9"/>
    <w:rsid w:val="0056541A"/>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3A39"/>
    <w:rsid w:val="005A416C"/>
    <w:rsid w:val="005A4971"/>
    <w:rsid w:val="005A5487"/>
    <w:rsid w:val="005A588D"/>
    <w:rsid w:val="005A59CF"/>
    <w:rsid w:val="005A6223"/>
    <w:rsid w:val="005A6A3A"/>
    <w:rsid w:val="005A6E87"/>
    <w:rsid w:val="005A7F72"/>
    <w:rsid w:val="005B0A7D"/>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A28"/>
    <w:rsid w:val="005C5EC4"/>
    <w:rsid w:val="005C60E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69B"/>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CA8"/>
    <w:rsid w:val="005D7E04"/>
    <w:rsid w:val="005E0082"/>
    <w:rsid w:val="005E06E1"/>
    <w:rsid w:val="005E0899"/>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6FA"/>
    <w:rsid w:val="005F06FD"/>
    <w:rsid w:val="005F0AB9"/>
    <w:rsid w:val="005F0B4C"/>
    <w:rsid w:val="005F0B53"/>
    <w:rsid w:val="005F0C46"/>
    <w:rsid w:val="005F1BB2"/>
    <w:rsid w:val="005F1FE4"/>
    <w:rsid w:val="005F2528"/>
    <w:rsid w:val="005F369B"/>
    <w:rsid w:val="005F3955"/>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085"/>
    <w:rsid w:val="00652599"/>
    <w:rsid w:val="00653217"/>
    <w:rsid w:val="0065327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610"/>
    <w:rsid w:val="00685725"/>
    <w:rsid w:val="00685834"/>
    <w:rsid w:val="00685D3B"/>
    <w:rsid w:val="00685DB7"/>
    <w:rsid w:val="00685E34"/>
    <w:rsid w:val="0068623E"/>
    <w:rsid w:val="00686366"/>
    <w:rsid w:val="0068653A"/>
    <w:rsid w:val="00686A14"/>
    <w:rsid w:val="00686FAD"/>
    <w:rsid w:val="0068721F"/>
    <w:rsid w:val="006874AE"/>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738"/>
    <w:rsid w:val="0069681E"/>
    <w:rsid w:val="006969D6"/>
    <w:rsid w:val="00696B6A"/>
    <w:rsid w:val="00696DD1"/>
    <w:rsid w:val="00697409"/>
    <w:rsid w:val="0069755C"/>
    <w:rsid w:val="006979DC"/>
    <w:rsid w:val="00697C2C"/>
    <w:rsid w:val="00697E0B"/>
    <w:rsid w:val="00697F71"/>
    <w:rsid w:val="006A0067"/>
    <w:rsid w:val="006A04D8"/>
    <w:rsid w:val="006A05EF"/>
    <w:rsid w:val="006A0717"/>
    <w:rsid w:val="006A0907"/>
    <w:rsid w:val="006A0942"/>
    <w:rsid w:val="006A0D18"/>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B5"/>
    <w:rsid w:val="006A4FF3"/>
    <w:rsid w:val="006A5A45"/>
    <w:rsid w:val="006A5C57"/>
    <w:rsid w:val="006A5CA3"/>
    <w:rsid w:val="006A5D5C"/>
    <w:rsid w:val="006A5E26"/>
    <w:rsid w:val="006A5F14"/>
    <w:rsid w:val="006A6B3F"/>
    <w:rsid w:val="006A6B69"/>
    <w:rsid w:val="006A74C0"/>
    <w:rsid w:val="006A7574"/>
    <w:rsid w:val="006A78D9"/>
    <w:rsid w:val="006A7AC4"/>
    <w:rsid w:val="006A7BDA"/>
    <w:rsid w:val="006B0489"/>
    <w:rsid w:val="006B05F5"/>
    <w:rsid w:val="006B0A30"/>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7C9"/>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641"/>
    <w:rsid w:val="007047A7"/>
    <w:rsid w:val="007050A6"/>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EE7"/>
    <w:rsid w:val="007D30D6"/>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3FB8"/>
    <w:rsid w:val="00884255"/>
    <w:rsid w:val="0088425B"/>
    <w:rsid w:val="00884AD8"/>
    <w:rsid w:val="00884B42"/>
    <w:rsid w:val="00884B7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C65"/>
    <w:rsid w:val="008A1EA1"/>
    <w:rsid w:val="008A1FBC"/>
    <w:rsid w:val="008A24BD"/>
    <w:rsid w:val="008A294D"/>
    <w:rsid w:val="008A2AAE"/>
    <w:rsid w:val="008A2EEF"/>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AF9"/>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C8"/>
    <w:rsid w:val="008C3466"/>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BC"/>
    <w:rsid w:val="009616FA"/>
    <w:rsid w:val="00961A61"/>
    <w:rsid w:val="00961E6D"/>
    <w:rsid w:val="00961F21"/>
    <w:rsid w:val="009621FF"/>
    <w:rsid w:val="00962724"/>
    <w:rsid w:val="0096392B"/>
    <w:rsid w:val="0096397B"/>
    <w:rsid w:val="00964E34"/>
    <w:rsid w:val="00964E3C"/>
    <w:rsid w:val="00964E69"/>
    <w:rsid w:val="0096504D"/>
    <w:rsid w:val="009654F0"/>
    <w:rsid w:val="009659EA"/>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BAF"/>
    <w:rsid w:val="00982314"/>
    <w:rsid w:val="00982768"/>
    <w:rsid w:val="00982773"/>
    <w:rsid w:val="00982AB4"/>
    <w:rsid w:val="00982B3C"/>
    <w:rsid w:val="00982E67"/>
    <w:rsid w:val="00983007"/>
    <w:rsid w:val="00983061"/>
    <w:rsid w:val="00983223"/>
    <w:rsid w:val="0098354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EF"/>
    <w:rsid w:val="00990479"/>
    <w:rsid w:val="00990573"/>
    <w:rsid w:val="009908F7"/>
    <w:rsid w:val="00990E93"/>
    <w:rsid w:val="0099132E"/>
    <w:rsid w:val="009917F3"/>
    <w:rsid w:val="00991F39"/>
    <w:rsid w:val="009920FE"/>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D88"/>
    <w:rsid w:val="009C42A3"/>
    <w:rsid w:val="009C4B76"/>
    <w:rsid w:val="009C520B"/>
    <w:rsid w:val="009C5785"/>
    <w:rsid w:val="009C5874"/>
    <w:rsid w:val="009C5AD8"/>
    <w:rsid w:val="009C610E"/>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5B7"/>
    <w:rsid w:val="00A279DC"/>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28"/>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880"/>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FE7"/>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52C"/>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6D88"/>
    <w:rsid w:val="00B87324"/>
    <w:rsid w:val="00B87809"/>
    <w:rsid w:val="00B87C60"/>
    <w:rsid w:val="00B87F42"/>
    <w:rsid w:val="00B90165"/>
    <w:rsid w:val="00B90615"/>
    <w:rsid w:val="00B9076E"/>
    <w:rsid w:val="00B91356"/>
    <w:rsid w:val="00B91E9D"/>
    <w:rsid w:val="00B922C4"/>
    <w:rsid w:val="00B926E0"/>
    <w:rsid w:val="00B92AD4"/>
    <w:rsid w:val="00B92BF1"/>
    <w:rsid w:val="00B932E1"/>
    <w:rsid w:val="00B93C36"/>
    <w:rsid w:val="00B94054"/>
    <w:rsid w:val="00B94253"/>
    <w:rsid w:val="00B9436E"/>
    <w:rsid w:val="00B944BE"/>
    <w:rsid w:val="00B9462E"/>
    <w:rsid w:val="00B946E7"/>
    <w:rsid w:val="00B94759"/>
    <w:rsid w:val="00B950E8"/>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D7FF4"/>
    <w:rsid w:val="00BE072F"/>
    <w:rsid w:val="00BE0C3B"/>
    <w:rsid w:val="00BE13B8"/>
    <w:rsid w:val="00BE197A"/>
    <w:rsid w:val="00BE1A06"/>
    <w:rsid w:val="00BE2E99"/>
    <w:rsid w:val="00BE3AFA"/>
    <w:rsid w:val="00BE3F52"/>
    <w:rsid w:val="00BE403F"/>
    <w:rsid w:val="00BE45C1"/>
    <w:rsid w:val="00BE4F02"/>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15"/>
    <w:rsid w:val="00C4336B"/>
    <w:rsid w:val="00C439F0"/>
    <w:rsid w:val="00C43CE7"/>
    <w:rsid w:val="00C44189"/>
    <w:rsid w:val="00C447FB"/>
    <w:rsid w:val="00C44F96"/>
    <w:rsid w:val="00C44FF2"/>
    <w:rsid w:val="00C4587D"/>
    <w:rsid w:val="00C45C66"/>
    <w:rsid w:val="00C47053"/>
    <w:rsid w:val="00C470AA"/>
    <w:rsid w:val="00C4734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35D0"/>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B03"/>
    <w:rsid w:val="00CB41E7"/>
    <w:rsid w:val="00CB480A"/>
    <w:rsid w:val="00CB49C7"/>
    <w:rsid w:val="00CB4FA5"/>
    <w:rsid w:val="00CB5008"/>
    <w:rsid w:val="00CB5215"/>
    <w:rsid w:val="00CB5659"/>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CAB"/>
    <w:rsid w:val="00CC1D2E"/>
    <w:rsid w:val="00CC1E3E"/>
    <w:rsid w:val="00CC1E40"/>
    <w:rsid w:val="00CC27F5"/>
    <w:rsid w:val="00CC2D18"/>
    <w:rsid w:val="00CC2EFE"/>
    <w:rsid w:val="00CC32B0"/>
    <w:rsid w:val="00CC3D8D"/>
    <w:rsid w:val="00CC3E8C"/>
    <w:rsid w:val="00CC400F"/>
    <w:rsid w:val="00CC4365"/>
    <w:rsid w:val="00CC4600"/>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DC0"/>
    <w:rsid w:val="00CF3E2B"/>
    <w:rsid w:val="00CF3F01"/>
    <w:rsid w:val="00CF4050"/>
    <w:rsid w:val="00CF41AE"/>
    <w:rsid w:val="00CF495B"/>
    <w:rsid w:val="00CF4B3B"/>
    <w:rsid w:val="00CF4F02"/>
    <w:rsid w:val="00CF4F88"/>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9AA"/>
    <w:rsid w:val="00D42B71"/>
    <w:rsid w:val="00D42D5D"/>
    <w:rsid w:val="00D43888"/>
    <w:rsid w:val="00D4429F"/>
    <w:rsid w:val="00D445BC"/>
    <w:rsid w:val="00D44A5C"/>
    <w:rsid w:val="00D44EA0"/>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FE5"/>
    <w:rsid w:val="00DD32DF"/>
    <w:rsid w:val="00DD3401"/>
    <w:rsid w:val="00DD3430"/>
    <w:rsid w:val="00DD3480"/>
    <w:rsid w:val="00DD3565"/>
    <w:rsid w:val="00DD48A4"/>
    <w:rsid w:val="00DD49D3"/>
    <w:rsid w:val="00DD50C9"/>
    <w:rsid w:val="00DD59AB"/>
    <w:rsid w:val="00DD5E0E"/>
    <w:rsid w:val="00DD5FFE"/>
    <w:rsid w:val="00DD6396"/>
    <w:rsid w:val="00DD6C70"/>
    <w:rsid w:val="00DD6DA2"/>
    <w:rsid w:val="00DD761C"/>
    <w:rsid w:val="00DE0171"/>
    <w:rsid w:val="00DE0333"/>
    <w:rsid w:val="00DE0558"/>
    <w:rsid w:val="00DE067E"/>
    <w:rsid w:val="00DE088E"/>
    <w:rsid w:val="00DE10D2"/>
    <w:rsid w:val="00DE128B"/>
    <w:rsid w:val="00DE14DB"/>
    <w:rsid w:val="00DE1799"/>
    <w:rsid w:val="00DE20FB"/>
    <w:rsid w:val="00DE21CF"/>
    <w:rsid w:val="00DE279F"/>
    <w:rsid w:val="00DE2D4B"/>
    <w:rsid w:val="00DE2DDA"/>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430"/>
    <w:rsid w:val="00DF4920"/>
    <w:rsid w:val="00DF4DEA"/>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5F5"/>
    <w:rsid w:val="00E00A07"/>
    <w:rsid w:val="00E00A92"/>
    <w:rsid w:val="00E01395"/>
    <w:rsid w:val="00E0157F"/>
    <w:rsid w:val="00E019EA"/>
    <w:rsid w:val="00E01A5C"/>
    <w:rsid w:val="00E028E6"/>
    <w:rsid w:val="00E02C20"/>
    <w:rsid w:val="00E0324B"/>
    <w:rsid w:val="00E0345F"/>
    <w:rsid w:val="00E03B1D"/>
    <w:rsid w:val="00E03BEA"/>
    <w:rsid w:val="00E0401E"/>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17C"/>
    <w:rsid w:val="00E30517"/>
    <w:rsid w:val="00E3070A"/>
    <w:rsid w:val="00E30A72"/>
    <w:rsid w:val="00E30DB2"/>
    <w:rsid w:val="00E30E36"/>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1DC7"/>
    <w:rsid w:val="00E423C8"/>
    <w:rsid w:val="00E42532"/>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5D0B"/>
    <w:rsid w:val="00E76141"/>
    <w:rsid w:val="00E76270"/>
    <w:rsid w:val="00E76B45"/>
    <w:rsid w:val="00E77040"/>
    <w:rsid w:val="00E772C4"/>
    <w:rsid w:val="00E77655"/>
    <w:rsid w:val="00E8016D"/>
    <w:rsid w:val="00E810EC"/>
    <w:rsid w:val="00E8112C"/>
    <w:rsid w:val="00E81587"/>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6FA"/>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B2F"/>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6964"/>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101FA"/>
    <w:rsid w:val="00F10437"/>
    <w:rsid w:val="00F10465"/>
    <w:rsid w:val="00F10864"/>
    <w:rsid w:val="00F108E6"/>
    <w:rsid w:val="00F10E93"/>
    <w:rsid w:val="00F1165E"/>
    <w:rsid w:val="00F11CF5"/>
    <w:rsid w:val="00F12B3D"/>
    <w:rsid w:val="00F12F2E"/>
    <w:rsid w:val="00F131B6"/>
    <w:rsid w:val="00F13242"/>
    <w:rsid w:val="00F136B7"/>
    <w:rsid w:val="00F1403E"/>
    <w:rsid w:val="00F140FE"/>
    <w:rsid w:val="00F1415B"/>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0E49"/>
    <w:rsid w:val="00F41C5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A6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2D"/>
    <w:rsid w:val="00F94003"/>
    <w:rsid w:val="00F945E2"/>
    <w:rsid w:val="00F94737"/>
    <w:rsid w:val="00F9495D"/>
    <w:rsid w:val="00F94A16"/>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FC"/>
    <w:rsid w:val="00FE55EC"/>
    <w:rsid w:val="00FE5977"/>
    <w:rsid w:val="00FE5CB2"/>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 xsi:nil="true"/>
    <_dlc_DocIdUrl xmlns="c06861ca-3f08-4d07-bff7-bb15bac121f4">
      <Url xsi:nil="true"/>
      <Description xsi:nil="true"/>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4A6EF645-76DF-44C8-9F40-258BB318A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3</Pages>
  <Words>873</Words>
  <Characters>4982</Characters>
  <Application>Microsoft Office Word</Application>
  <DocSecurity>0</DocSecurity>
  <Lines>41</Lines>
  <Paragraphs>11</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TSG-RAN WG1 #84</vt:lpstr>
      <vt:lpstr>Introduction</vt:lpstr>
      <vt:lpstr>Discussions</vt:lpstr>
      <vt:lpstr>    TPC Accumulation</vt:lpstr>
      <vt:lpstr>    Reference Slot</vt:lpstr>
      <vt:lpstr>Conclusions</vt:lpstr>
      <vt:lpstr>References	</vt:lpstr>
    </vt:vector>
  </TitlesOfParts>
  <Company>Qualcomm Inc.</Company>
  <LinksUpToDate>false</LinksUpToDate>
  <CharactersWithSpaces>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Peter Gaal</cp:lastModifiedBy>
  <cp:revision>7</cp:revision>
  <cp:lastPrinted>2014-11-07T05:38:00Z</cp:lastPrinted>
  <dcterms:created xsi:type="dcterms:W3CDTF">2019-02-15T23:40:00Z</dcterms:created>
  <dcterms:modified xsi:type="dcterms:W3CDTF">2019-02-16T07:17:00Z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dee09be7-6715-472d-a3ca-cfacedcda97e</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